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74A4" w14:textId="77777777" w:rsidR="0031304C" w:rsidRDefault="0031304C" w:rsidP="0031304C">
      <w:pPr>
        <w:jc w:val="center"/>
      </w:pPr>
      <w:bookmarkStart w:id="0" w:name="_Hlk104910487"/>
      <w:bookmarkStart w:id="1" w:name="_GoBack"/>
      <w:bookmarkEnd w:id="0"/>
      <w:bookmarkEnd w:id="1"/>
    </w:p>
    <w:p w14:paraId="7452FF67" w14:textId="0497ABA8" w:rsidR="00A832C9" w:rsidRDefault="00A832C9" w:rsidP="00D2260A">
      <w:pPr>
        <w:pStyle w:val="Titre1"/>
        <w:spacing w:after="60"/>
        <w:jc w:val="center"/>
        <w:rPr>
          <w:sz w:val="27"/>
        </w:rPr>
      </w:pPr>
      <w:r>
        <w:rPr>
          <w:b w:val="0"/>
          <w:noProof/>
        </w:rPr>
        <w:drawing>
          <wp:inline distT="0" distB="0" distL="0" distR="0" wp14:anchorId="70AF7325" wp14:editId="616C64ED">
            <wp:extent cx="1414800" cy="2048400"/>
            <wp:effectExtent l="0" t="0" r="0" b="9525"/>
            <wp:docPr id="2" name="Image 2" descr="Une image contenant personne, mur, posant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mur, posant, souri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0D72" w14:textId="428D97D8" w:rsidR="00A832C9" w:rsidRDefault="00A832C9" w:rsidP="00A832C9"/>
    <w:p w14:paraId="4D07139B" w14:textId="77777777" w:rsidR="00A832C9" w:rsidRPr="00A832C9" w:rsidRDefault="00A832C9" w:rsidP="00A832C9"/>
    <w:p w14:paraId="5D84940F" w14:textId="2C0FA299" w:rsidR="0031304C" w:rsidRDefault="005C0488" w:rsidP="00D2260A">
      <w:pPr>
        <w:pStyle w:val="Titre1"/>
        <w:spacing w:after="60"/>
        <w:jc w:val="center"/>
        <w:rPr>
          <w:sz w:val="27"/>
        </w:rPr>
      </w:pPr>
      <w:r>
        <w:rPr>
          <w:sz w:val="27"/>
        </w:rPr>
        <w:t xml:space="preserve">Caroline </w:t>
      </w:r>
      <w:r w:rsidR="0031304C">
        <w:rPr>
          <w:sz w:val="27"/>
        </w:rPr>
        <w:t xml:space="preserve">PICHERAL </w:t>
      </w:r>
    </w:p>
    <w:p w14:paraId="6FC338AB" w14:textId="77777777" w:rsidR="00A832C9" w:rsidRDefault="00A832C9" w:rsidP="0031304C">
      <w:pPr>
        <w:jc w:val="center"/>
        <w:rPr>
          <w:sz w:val="23"/>
        </w:rPr>
      </w:pPr>
    </w:p>
    <w:p w14:paraId="3AFC4BF9" w14:textId="2E981CA2" w:rsidR="0031304C" w:rsidRDefault="0023640E" w:rsidP="0031304C">
      <w:pPr>
        <w:jc w:val="center"/>
        <w:rPr>
          <w:sz w:val="23"/>
        </w:rPr>
      </w:pPr>
      <w:hyperlink r:id="rId7" w:history="1">
        <w:r w:rsidR="00A832C9" w:rsidRPr="00155550">
          <w:rPr>
            <w:rStyle w:val="Lienhypertexte"/>
            <w:sz w:val="23"/>
          </w:rPr>
          <w:t>caroline.picheral@umontpellier.fr</w:t>
        </w:r>
      </w:hyperlink>
    </w:p>
    <w:p w14:paraId="59921BBA" w14:textId="1C8F3A09" w:rsidR="00A832C9" w:rsidRDefault="00A832C9" w:rsidP="0031304C">
      <w:pPr>
        <w:jc w:val="center"/>
        <w:rPr>
          <w:sz w:val="23"/>
        </w:rPr>
      </w:pPr>
    </w:p>
    <w:p w14:paraId="7BFB62D9" w14:textId="77777777" w:rsidR="0031304C" w:rsidRDefault="0031304C" w:rsidP="0031304C">
      <w:pPr>
        <w:jc w:val="both"/>
        <w:rPr>
          <w:sz w:val="23"/>
        </w:rPr>
      </w:pPr>
    </w:p>
    <w:p w14:paraId="23880EDB" w14:textId="77777777" w:rsidR="00A832C9" w:rsidRDefault="00A832C9" w:rsidP="0031304C">
      <w:pPr>
        <w:jc w:val="both"/>
        <w:sectPr w:rsidR="00A832C9" w:rsidSect="00A832C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0C2566" w14:textId="77777777" w:rsidR="0031304C" w:rsidRDefault="0031304C" w:rsidP="0031304C">
      <w:pPr>
        <w:jc w:val="both"/>
      </w:pPr>
    </w:p>
    <w:p w14:paraId="6A5AB8B8" w14:textId="77777777" w:rsidR="0082169F" w:rsidRDefault="0082169F" w:rsidP="0031304C">
      <w:pPr>
        <w:jc w:val="both"/>
      </w:pPr>
    </w:p>
    <w:p w14:paraId="4004304D" w14:textId="165F9CBC" w:rsidR="0082169F" w:rsidRDefault="0082169F" w:rsidP="0031304C">
      <w:pPr>
        <w:spacing w:after="80"/>
        <w:ind w:left="2835" w:hanging="2835"/>
        <w:jc w:val="both"/>
        <w:rPr>
          <w:sz w:val="23"/>
        </w:rPr>
      </w:pPr>
      <w:r>
        <w:rPr>
          <w:sz w:val="23"/>
        </w:rPr>
        <w:t>Professeur, Université de Montpellier, UFR de Droit et de Science politique</w:t>
      </w:r>
      <w:r w:rsidR="00B9223C">
        <w:rPr>
          <w:sz w:val="23"/>
        </w:rPr>
        <w:t>, IDEDH</w:t>
      </w:r>
    </w:p>
    <w:p w14:paraId="47988DDE" w14:textId="42875C0F" w:rsidR="009C03BE" w:rsidRDefault="009C03BE" w:rsidP="0031304C">
      <w:pPr>
        <w:jc w:val="both"/>
        <w:rPr>
          <w:sz w:val="22"/>
          <w:szCs w:val="22"/>
        </w:rPr>
      </w:pPr>
    </w:p>
    <w:p w14:paraId="7BB9C258" w14:textId="14CEF107" w:rsidR="009C03BE" w:rsidRPr="00CE224E" w:rsidRDefault="009C03BE" w:rsidP="009C03BE">
      <w:pPr>
        <w:jc w:val="both"/>
        <w:rPr>
          <w:sz w:val="22"/>
          <w:szCs w:val="22"/>
        </w:rPr>
      </w:pPr>
      <w:r w:rsidRPr="00CE224E">
        <w:rPr>
          <w:sz w:val="22"/>
          <w:szCs w:val="22"/>
        </w:rPr>
        <w:t>Co-responsable de l’axe de recherche « </w:t>
      </w:r>
      <w:r>
        <w:rPr>
          <w:sz w:val="22"/>
          <w:szCs w:val="22"/>
        </w:rPr>
        <w:t xml:space="preserve">Le rôle sociétal des droits de l’homme dans l’espace européen </w:t>
      </w:r>
      <w:r w:rsidRPr="00CE224E">
        <w:rPr>
          <w:sz w:val="22"/>
          <w:szCs w:val="22"/>
        </w:rPr>
        <w:t> » au sein de l’IDEDH, 20</w:t>
      </w:r>
      <w:r>
        <w:rPr>
          <w:sz w:val="22"/>
          <w:szCs w:val="22"/>
        </w:rPr>
        <w:t>20-2024</w:t>
      </w:r>
      <w:r w:rsidRPr="00CE224E">
        <w:rPr>
          <w:sz w:val="22"/>
          <w:szCs w:val="22"/>
        </w:rPr>
        <w:t>.</w:t>
      </w:r>
    </w:p>
    <w:p w14:paraId="14B8651E" w14:textId="77777777" w:rsidR="0031304C" w:rsidRPr="00CE224E" w:rsidRDefault="0031304C" w:rsidP="0031304C">
      <w:pPr>
        <w:jc w:val="both"/>
        <w:rPr>
          <w:sz w:val="22"/>
          <w:szCs w:val="22"/>
        </w:rPr>
      </w:pPr>
    </w:p>
    <w:p w14:paraId="429313A1" w14:textId="25035D7F" w:rsidR="00C73089" w:rsidRPr="00CE224E" w:rsidRDefault="00C73089" w:rsidP="006A51A3">
      <w:pPr>
        <w:spacing w:line="276" w:lineRule="auto"/>
        <w:jc w:val="both"/>
        <w:rPr>
          <w:sz w:val="22"/>
          <w:szCs w:val="22"/>
        </w:rPr>
      </w:pPr>
      <w:r w:rsidRPr="00CE224E">
        <w:rPr>
          <w:sz w:val="22"/>
          <w:szCs w:val="22"/>
        </w:rPr>
        <w:t xml:space="preserve">Membre du Conseil de la Section de droit public – UFR Droit et science politique, Université de Montpellier (mai 2021-…) </w:t>
      </w:r>
    </w:p>
    <w:p w14:paraId="349CE8E1" w14:textId="188EC8FC" w:rsidR="0031304C" w:rsidRDefault="0031304C" w:rsidP="0031304C"/>
    <w:p w14:paraId="38C13833" w14:textId="61C5E08D" w:rsidR="00092762" w:rsidRPr="009C03BE" w:rsidRDefault="00092762" w:rsidP="0031304C">
      <w:pPr>
        <w:rPr>
          <w:b/>
          <w:caps/>
          <w:sz w:val="22"/>
          <w:u w:val="single"/>
        </w:rPr>
      </w:pPr>
      <w:r w:rsidRPr="009C03BE">
        <w:rPr>
          <w:b/>
          <w:caps/>
          <w:sz w:val="22"/>
          <w:u w:val="single"/>
        </w:rPr>
        <w:t>Thèmes de recherche</w:t>
      </w:r>
    </w:p>
    <w:p w14:paraId="7F447762" w14:textId="00A4D59A" w:rsidR="00092762" w:rsidRDefault="00092762" w:rsidP="0031304C"/>
    <w:p w14:paraId="4EA3371B" w14:textId="449C64FF" w:rsidR="00092762" w:rsidRDefault="00092762" w:rsidP="0031304C">
      <w:r>
        <w:t>Droit européen, droits de l’homme, rapports de systèmes, citoyenneté européenne, droit des étrangers, politique européenne d’asile et d’immigration</w:t>
      </w:r>
    </w:p>
    <w:p w14:paraId="1C1C1D75" w14:textId="77777777" w:rsidR="009E5E59" w:rsidRDefault="009E5E59" w:rsidP="0031304C"/>
    <w:p w14:paraId="794251D8" w14:textId="77777777" w:rsidR="00092762" w:rsidRDefault="00092762" w:rsidP="0031304C"/>
    <w:p w14:paraId="029ED503" w14:textId="21584978" w:rsidR="00075EE0" w:rsidRDefault="00C73089">
      <w:pPr>
        <w:rPr>
          <w:b/>
          <w:bCs/>
          <w:sz w:val="22"/>
          <w:szCs w:val="22"/>
          <w:u w:val="single"/>
        </w:rPr>
      </w:pPr>
      <w:r w:rsidRPr="00C73089">
        <w:rPr>
          <w:b/>
          <w:bCs/>
          <w:sz w:val="22"/>
          <w:szCs w:val="22"/>
          <w:u w:val="single"/>
        </w:rPr>
        <w:t>PUBLICATIONS</w:t>
      </w:r>
    </w:p>
    <w:p w14:paraId="39F85A7E" w14:textId="77777777" w:rsidR="00102C35" w:rsidRPr="00961A53" w:rsidRDefault="00102C35" w:rsidP="00102C35">
      <w:pPr>
        <w:spacing w:line="360" w:lineRule="auto"/>
        <w:jc w:val="both"/>
      </w:pPr>
    </w:p>
    <w:p w14:paraId="07B46D3E" w14:textId="4EB3742F" w:rsidR="00102C35" w:rsidRPr="00F13767" w:rsidRDefault="00102C35" w:rsidP="00102C35">
      <w:pPr>
        <w:spacing w:line="360" w:lineRule="auto"/>
        <w:jc w:val="both"/>
        <w:rPr>
          <w:b/>
          <w:smallCaps/>
        </w:rPr>
      </w:pPr>
      <w:r w:rsidRPr="00F13767">
        <w:rPr>
          <w:b/>
          <w:smallCaps/>
        </w:rPr>
        <w:t>I –</w:t>
      </w:r>
      <w:r w:rsidR="00923C1E">
        <w:rPr>
          <w:b/>
          <w:smallCaps/>
        </w:rPr>
        <w:t xml:space="preserve"> </w:t>
      </w:r>
      <w:r w:rsidRPr="00F13767">
        <w:rPr>
          <w:b/>
          <w:smallCaps/>
        </w:rPr>
        <w:t>D</w:t>
      </w:r>
      <w:r>
        <w:rPr>
          <w:b/>
          <w:smallCaps/>
        </w:rPr>
        <w:t xml:space="preserve">irection </w:t>
      </w:r>
      <w:r w:rsidR="00092762">
        <w:rPr>
          <w:b/>
          <w:smallCaps/>
        </w:rPr>
        <w:t xml:space="preserve">et codirection </w:t>
      </w:r>
      <w:r>
        <w:rPr>
          <w:b/>
          <w:smallCaps/>
        </w:rPr>
        <w:t>d’ouvrages</w:t>
      </w:r>
    </w:p>
    <w:p w14:paraId="2FCF925B" w14:textId="725BB36A" w:rsidR="00102C35" w:rsidRDefault="00102C35" w:rsidP="00102C35">
      <w:pPr>
        <w:numPr>
          <w:ilvl w:val="0"/>
          <w:numId w:val="3"/>
        </w:numPr>
        <w:rPr>
          <w:sz w:val="22"/>
          <w:szCs w:val="22"/>
        </w:rPr>
      </w:pPr>
      <w:r w:rsidRPr="00476F6A">
        <w:rPr>
          <w:i/>
          <w:iCs/>
          <w:sz w:val="22"/>
          <w:szCs w:val="22"/>
        </w:rPr>
        <w:t>Les droits de l’homme face aux risques pour l’humanité</w:t>
      </w:r>
      <w:r>
        <w:rPr>
          <w:sz w:val="22"/>
          <w:szCs w:val="22"/>
        </w:rPr>
        <w:t xml:space="preserve">, LexisNexis, </w:t>
      </w:r>
      <w:r w:rsidR="007E7CB4">
        <w:rPr>
          <w:sz w:val="22"/>
          <w:szCs w:val="22"/>
        </w:rPr>
        <w:t xml:space="preserve">Paris, </w:t>
      </w:r>
      <w:r>
        <w:rPr>
          <w:sz w:val="22"/>
          <w:szCs w:val="22"/>
        </w:rPr>
        <w:t>2022, 243 p.</w:t>
      </w:r>
    </w:p>
    <w:p w14:paraId="492E74B1" w14:textId="77777777" w:rsidR="00102C35" w:rsidRPr="00476F6A" w:rsidRDefault="00102C35" w:rsidP="00102C35">
      <w:pPr>
        <w:ind w:left="643"/>
        <w:rPr>
          <w:sz w:val="22"/>
          <w:szCs w:val="22"/>
        </w:rPr>
      </w:pPr>
    </w:p>
    <w:p w14:paraId="163F76A8" w14:textId="67797824" w:rsidR="00102C35" w:rsidRDefault="00102C35" w:rsidP="00102C35">
      <w:pPr>
        <w:numPr>
          <w:ilvl w:val="0"/>
          <w:numId w:val="3"/>
        </w:numPr>
        <w:rPr>
          <w:sz w:val="22"/>
          <w:szCs w:val="22"/>
        </w:rPr>
      </w:pPr>
      <w:r w:rsidRPr="00C0643A">
        <w:rPr>
          <w:i/>
          <w:sz w:val="22"/>
          <w:szCs w:val="22"/>
        </w:rPr>
        <w:t>La vulnérabilité en droit européen des droits de l’homme – Conception(s) et fonction(s)</w:t>
      </w:r>
      <w:r w:rsidRPr="00C0643A">
        <w:rPr>
          <w:sz w:val="22"/>
          <w:szCs w:val="22"/>
        </w:rPr>
        <w:t xml:space="preserve">, Némésis-Anthémis, </w:t>
      </w:r>
      <w:r w:rsidR="007E7CB4">
        <w:rPr>
          <w:sz w:val="22"/>
          <w:szCs w:val="22"/>
        </w:rPr>
        <w:t xml:space="preserve">Bruxelles, </w:t>
      </w:r>
      <w:r w:rsidRPr="00C0643A">
        <w:rPr>
          <w:sz w:val="22"/>
          <w:szCs w:val="22"/>
        </w:rPr>
        <w:t>coll. « Droit et Justice », n° 118, 2019, 213 p.</w:t>
      </w:r>
    </w:p>
    <w:p w14:paraId="1BB7C208" w14:textId="77777777" w:rsidR="00102C35" w:rsidRDefault="00102C35" w:rsidP="00102C35">
      <w:pPr>
        <w:ind w:left="643"/>
        <w:rPr>
          <w:sz w:val="22"/>
          <w:szCs w:val="22"/>
        </w:rPr>
      </w:pPr>
    </w:p>
    <w:p w14:paraId="739B6CD1" w14:textId="77777777" w:rsidR="00102C35" w:rsidRDefault="00102C35" w:rsidP="00102C35">
      <w:pPr>
        <w:pStyle w:val="Retraitcorpsdetexte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- L. </w:t>
      </w:r>
      <w:proofErr w:type="spellStart"/>
      <w:r>
        <w:rPr>
          <w:sz w:val="22"/>
        </w:rPr>
        <w:t>Coutron</w:t>
      </w:r>
      <w:proofErr w:type="spellEnd"/>
      <w:r>
        <w:rPr>
          <w:sz w:val="22"/>
        </w:rPr>
        <w:t xml:space="preserve">, </w:t>
      </w:r>
      <w:r w:rsidRPr="00154FE8">
        <w:rPr>
          <w:sz w:val="22"/>
          <w:u w:val="single"/>
        </w:rPr>
        <w:t xml:space="preserve">C. </w:t>
      </w:r>
      <w:proofErr w:type="spellStart"/>
      <w:r w:rsidRPr="00154FE8">
        <w:rPr>
          <w:sz w:val="22"/>
          <w:u w:val="single"/>
        </w:rPr>
        <w:t>Picheral</w:t>
      </w:r>
      <w:proofErr w:type="spellEnd"/>
      <w:r>
        <w:rPr>
          <w:sz w:val="22"/>
        </w:rPr>
        <w:t xml:space="preserve">, </w:t>
      </w:r>
      <w:r w:rsidRPr="00977F9E">
        <w:rPr>
          <w:i/>
          <w:sz w:val="22"/>
        </w:rPr>
        <w:t>Charte des droits fondamentaux de l’Union européenne et Convention européenne des droits de l’homme</w:t>
      </w:r>
      <w:r>
        <w:rPr>
          <w:sz w:val="22"/>
        </w:rPr>
        <w:t xml:space="preserve">, Actes de la journée d’études du 21 octobre 2011 </w:t>
      </w:r>
      <w:r>
        <w:rPr>
          <w:sz w:val="22"/>
          <w:szCs w:val="22"/>
        </w:rPr>
        <w:t>(</w:t>
      </w:r>
      <w:r w:rsidRPr="00335709">
        <w:rPr>
          <w:sz w:val="22"/>
          <w:szCs w:val="22"/>
        </w:rPr>
        <w:t>Faculté de droit de Montpellier, Institut de droit européen des droits de l’homme</w:t>
      </w:r>
      <w:r>
        <w:rPr>
          <w:sz w:val="22"/>
          <w:szCs w:val="22"/>
        </w:rPr>
        <w:t xml:space="preserve">), </w:t>
      </w:r>
      <w:r>
        <w:rPr>
          <w:sz w:val="22"/>
        </w:rPr>
        <w:t>Bruylant, Bruxelles, coll. « Droit de la Convention européenne des droits de l’homme » - colloques, 2012, 155 p.</w:t>
      </w:r>
    </w:p>
    <w:p w14:paraId="2CAA8BCF" w14:textId="77777777" w:rsidR="00102C35" w:rsidRDefault="00102C35" w:rsidP="00102C35">
      <w:pPr>
        <w:pStyle w:val="Paragraphedeliste"/>
        <w:rPr>
          <w:sz w:val="22"/>
        </w:rPr>
      </w:pPr>
    </w:p>
    <w:p w14:paraId="25C23DAC" w14:textId="4BCA6ECA" w:rsidR="00102C35" w:rsidRDefault="00102C35" w:rsidP="00102C35">
      <w:pPr>
        <w:numPr>
          <w:ilvl w:val="0"/>
          <w:numId w:val="3"/>
        </w:numPr>
        <w:jc w:val="both"/>
        <w:rPr>
          <w:sz w:val="22"/>
          <w:szCs w:val="22"/>
        </w:rPr>
      </w:pPr>
      <w:r w:rsidRPr="006F2E65">
        <w:rPr>
          <w:i/>
          <w:sz w:val="22"/>
          <w:szCs w:val="22"/>
        </w:rPr>
        <w:lastRenderedPageBreak/>
        <w:t>Le droit au procès équitable au sens du droit de l’Union européenne</w:t>
      </w:r>
      <w:r w:rsidRPr="006F2E65">
        <w:rPr>
          <w:sz w:val="22"/>
          <w:szCs w:val="22"/>
        </w:rPr>
        <w:t xml:space="preserve">, </w:t>
      </w:r>
      <w:r>
        <w:rPr>
          <w:sz w:val="22"/>
          <w:szCs w:val="22"/>
        </w:rPr>
        <w:t>Actes du colloque des 5 et 6 novembre 2010 (</w:t>
      </w:r>
      <w:r w:rsidRPr="00335709">
        <w:rPr>
          <w:sz w:val="22"/>
          <w:szCs w:val="22"/>
        </w:rPr>
        <w:t>Faculté de droit de Montpellier, Institut de droit européen des droits de l’homme</w:t>
      </w:r>
      <w:r>
        <w:rPr>
          <w:sz w:val="22"/>
          <w:szCs w:val="22"/>
        </w:rPr>
        <w:t xml:space="preserve">), </w:t>
      </w:r>
      <w:r w:rsidRPr="006F2E65">
        <w:rPr>
          <w:sz w:val="22"/>
          <w:szCs w:val="22"/>
        </w:rPr>
        <w:t>Némésis-Anthémis, Bruxelles, coll. « Droit et justice »,</w:t>
      </w:r>
      <w:r>
        <w:rPr>
          <w:sz w:val="22"/>
          <w:szCs w:val="22"/>
        </w:rPr>
        <w:t xml:space="preserve"> n° 100,</w:t>
      </w:r>
      <w:r w:rsidRPr="006F2E65">
        <w:rPr>
          <w:sz w:val="22"/>
          <w:szCs w:val="22"/>
        </w:rPr>
        <w:t xml:space="preserve"> 2012, pp. 3-38.</w:t>
      </w:r>
    </w:p>
    <w:p w14:paraId="6A45FD6F" w14:textId="77777777" w:rsidR="00CA726D" w:rsidRDefault="00CA726D" w:rsidP="00CA726D">
      <w:pPr>
        <w:pStyle w:val="Paragraphedeliste"/>
        <w:rPr>
          <w:sz w:val="22"/>
          <w:szCs w:val="22"/>
        </w:rPr>
      </w:pPr>
    </w:p>
    <w:p w14:paraId="27C4AF2D" w14:textId="7EAB96D3" w:rsidR="00102C35" w:rsidRPr="00CA726D" w:rsidRDefault="00CA726D" w:rsidP="00CA726D">
      <w:pPr>
        <w:pStyle w:val="Retraitcorpsdetexte"/>
        <w:numPr>
          <w:ilvl w:val="0"/>
          <w:numId w:val="3"/>
        </w:numPr>
        <w:jc w:val="both"/>
        <w:rPr>
          <w:sz w:val="22"/>
        </w:rPr>
      </w:pPr>
      <w:r w:rsidRPr="0075397C">
        <w:rPr>
          <w:sz w:val="22"/>
        </w:rPr>
        <w:t xml:space="preserve">F. Sudre, </w:t>
      </w:r>
      <w:r w:rsidRPr="0075397C">
        <w:rPr>
          <w:sz w:val="22"/>
          <w:u w:val="single"/>
        </w:rPr>
        <w:t xml:space="preserve">C. </w:t>
      </w:r>
      <w:proofErr w:type="spellStart"/>
      <w:r w:rsidRPr="0075397C">
        <w:rPr>
          <w:sz w:val="22"/>
          <w:u w:val="single"/>
        </w:rPr>
        <w:t>Picheral</w:t>
      </w:r>
      <w:proofErr w:type="spellEnd"/>
      <w:r w:rsidRPr="0075397C">
        <w:rPr>
          <w:sz w:val="22"/>
        </w:rPr>
        <w:t xml:space="preserve">, </w:t>
      </w:r>
      <w:r w:rsidRPr="0075397C">
        <w:rPr>
          <w:i/>
          <w:sz w:val="22"/>
        </w:rPr>
        <w:t>La diffusion du modèle européen du procès équitable</w:t>
      </w:r>
      <w:r w:rsidRPr="0075397C">
        <w:rPr>
          <w:sz w:val="22"/>
        </w:rPr>
        <w:t xml:space="preserve">, La Documentation française, </w:t>
      </w:r>
      <w:r>
        <w:rPr>
          <w:sz w:val="22"/>
        </w:rPr>
        <w:t xml:space="preserve">Paris, </w:t>
      </w:r>
      <w:r w:rsidRPr="0075397C">
        <w:rPr>
          <w:sz w:val="22"/>
        </w:rPr>
        <w:t>coll</w:t>
      </w:r>
      <w:r>
        <w:rPr>
          <w:sz w:val="22"/>
        </w:rPr>
        <w:t>.</w:t>
      </w:r>
      <w:r w:rsidRPr="0075397C">
        <w:rPr>
          <w:sz w:val="22"/>
        </w:rPr>
        <w:t xml:space="preserve"> « Perspectives sur la justice », 2003, 353 p.</w:t>
      </w:r>
    </w:p>
    <w:p w14:paraId="27994FB4" w14:textId="77777777" w:rsidR="00102C35" w:rsidRPr="00961A53" w:rsidRDefault="00102C35" w:rsidP="00102C35">
      <w:pPr>
        <w:pStyle w:val="Retraitcorpsdetexte"/>
        <w:spacing w:line="360" w:lineRule="auto"/>
        <w:jc w:val="both"/>
      </w:pPr>
    </w:p>
    <w:p w14:paraId="183D2C32" w14:textId="1AA7D205" w:rsidR="009969C6" w:rsidRDefault="009969C6" w:rsidP="009969C6">
      <w:pPr>
        <w:pStyle w:val="Retraitcorpsdetexte"/>
        <w:spacing w:line="360" w:lineRule="auto"/>
        <w:ind w:left="0"/>
        <w:jc w:val="both"/>
        <w:rPr>
          <w:b/>
          <w:smallCaps/>
        </w:rPr>
      </w:pPr>
      <w:r w:rsidRPr="00961A53">
        <w:rPr>
          <w:b/>
        </w:rPr>
        <w:t>II – A</w:t>
      </w:r>
      <w:r>
        <w:rPr>
          <w:b/>
          <w:smallCaps/>
        </w:rPr>
        <w:t>rticles et contributions</w:t>
      </w:r>
    </w:p>
    <w:p w14:paraId="3330DAD1" w14:textId="3B44E4E6" w:rsidR="0052771E" w:rsidRPr="0052771E" w:rsidRDefault="0052771E" w:rsidP="009969C6">
      <w:pPr>
        <w:pStyle w:val="Retraitcorpsdetexte"/>
        <w:spacing w:line="360" w:lineRule="auto"/>
        <w:ind w:left="0"/>
        <w:jc w:val="both"/>
        <w:rPr>
          <w:b/>
          <w:sz w:val="20"/>
          <w:szCs w:val="20"/>
        </w:rPr>
      </w:pPr>
      <w:r w:rsidRPr="0052771E">
        <w:rPr>
          <w:b/>
          <w:smallCaps/>
          <w:sz w:val="20"/>
          <w:szCs w:val="20"/>
        </w:rPr>
        <w:t>A - Contributions</w:t>
      </w:r>
    </w:p>
    <w:p w14:paraId="76E09CB4" w14:textId="0D269A1F" w:rsidR="00C94941" w:rsidRDefault="00C94941" w:rsidP="009969C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« Intelligence artificielle et libre circulation » in V. Barbe, </w:t>
      </w:r>
      <w:r w:rsidR="00D76D91">
        <w:rPr>
          <w:sz w:val="22"/>
          <w:szCs w:val="22"/>
        </w:rPr>
        <w:t xml:space="preserve">Ch. </w:t>
      </w:r>
      <w:proofErr w:type="spellStart"/>
      <w:r>
        <w:rPr>
          <w:sz w:val="22"/>
          <w:szCs w:val="22"/>
        </w:rPr>
        <w:t>Koumpli</w:t>
      </w:r>
      <w:proofErr w:type="spellEnd"/>
      <w:r>
        <w:rPr>
          <w:sz w:val="22"/>
          <w:szCs w:val="22"/>
        </w:rPr>
        <w:t xml:space="preserve"> et </w:t>
      </w:r>
      <w:r w:rsidR="00D76D91"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Mauclair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 w:rsidRPr="00C94941">
        <w:rPr>
          <w:i/>
          <w:iCs/>
          <w:sz w:val="22"/>
          <w:szCs w:val="22"/>
        </w:rPr>
        <w:t>Intelligence artificielle et droits fondamentaux</w:t>
      </w:r>
      <w:r>
        <w:rPr>
          <w:sz w:val="22"/>
          <w:szCs w:val="22"/>
        </w:rPr>
        <w:t xml:space="preserve">, Editions l’Epitoge, </w:t>
      </w:r>
      <w:r w:rsidR="00315610">
        <w:rPr>
          <w:sz w:val="22"/>
          <w:szCs w:val="22"/>
        </w:rPr>
        <w:t xml:space="preserve">Toulouse, </w:t>
      </w:r>
      <w:r>
        <w:rPr>
          <w:sz w:val="22"/>
          <w:szCs w:val="22"/>
        </w:rPr>
        <w:t>à paraître</w:t>
      </w:r>
      <w:r w:rsidR="00D76D91">
        <w:rPr>
          <w:sz w:val="22"/>
          <w:szCs w:val="22"/>
        </w:rPr>
        <w:t xml:space="preserve"> </w:t>
      </w:r>
    </w:p>
    <w:p w14:paraId="0A4F8190" w14:textId="7CBD0400" w:rsidR="00C94941" w:rsidRDefault="00C94941" w:rsidP="00C94941">
      <w:pPr>
        <w:ind w:left="283"/>
        <w:rPr>
          <w:sz w:val="22"/>
          <w:szCs w:val="22"/>
        </w:rPr>
      </w:pPr>
    </w:p>
    <w:p w14:paraId="2F0AAD4C" w14:textId="7DD9103A" w:rsidR="00092762" w:rsidRPr="00092762" w:rsidRDefault="00C94941" w:rsidP="0009276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« Quelle garantie en cas de violation massive/systémique des droits de l’homme ? », in X. Dupré de </w:t>
      </w:r>
      <w:proofErr w:type="spellStart"/>
      <w:r>
        <w:rPr>
          <w:sz w:val="22"/>
          <w:szCs w:val="22"/>
        </w:rPr>
        <w:t>Boulois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Tinière</w:t>
      </w:r>
      <w:proofErr w:type="spellEnd"/>
      <w:r>
        <w:rPr>
          <w:sz w:val="22"/>
          <w:szCs w:val="22"/>
        </w:rPr>
        <w:t xml:space="preserve"> et Cl. Vial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 w:rsidRPr="00315610">
        <w:rPr>
          <w:i/>
          <w:iCs/>
          <w:sz w:val="22"/>
          <w:szCs w:val="22"/>
        </w:rPr>
        <w:t>Le droit des libertés en question(s) – 3</w:t>
      </w:r>
      <w:r>
        <w:rPr>
          <w:sz w:val="22"/>
          <w:szCs w:val="22"/>
        </w:rPr>
        <w:t xml:space="preserve">, </w:t>
      </w:r>
      <w:r w:rsidR="00315610">
        <w:rPr>
          <w:sz w:val="22"/>
          <w:szCs w:val="22"/>
        </w:rPr>
        <w:t xml:space="preserve">Actes du colloque des 10 ans de la </w:t>
      </w:r>
      <w:r w:rsidR="00D76D91">
        <w:rPr>
          <w:sz w:val="22"/>
          <w:szCs w:val="22"/>
        </w:rPr>
        <w:t>Revue des droits et libertés fondamentaux (</w:t>
      </w:r>
      <w:r w:rsidR="00315610">
        <w:rPr>
          <w:sz w:val="22"/>
          <w:szCs w:val="22"/>
        </w:rPr>
        <w:t>RDLF</w:t>
      </w:r>
      <w:r w:rsidR="00D76D91">
        <w:rPr>
          <w:sz w:val="22"/>
          <w:szCs w:val="22"/>
        </w:rPr>
        <w:t>)</w:t>
      </w:r>
      <w:r w:rsidR="00315610">
        <w:rPr>
          <w:sz w:val="22"/>
          <w:szCs w:val="22"/>
        </w:rPr>
        <w:t>, 2 et 3 décembre 2021 (Université Montpellier),</w:t>
      </w:r>
      <w:r w:rsidR="00092762">
        <w:rPr>
          <w:sz w:val="22"/>
          <w:szCs w:val="22"/>
        </w:rPr>
        <w:t xml:space="preserve"> RDLF</w:t>
      </w:r>
      <w:r w:rsidR="00D76D91">
        <w:rPr>
          <w:sz w:val="22"/>
          <w:szCs w:val="22"/>
        </w:rPr>
        <w:t xml:space="preserve"> 2022</w:t>
      </w:r>
      <w:r w:rsidR="00D857B5">
        <w:rPr>
          <w:sz w:val="22"/>
          <w:szCs w:val="22"/>
        </w:rPr>
        <w:t xml:space="preserve">, </w:t>
      </w:r>
      <w:proofErr w:type="spellStart"/>
      <w:r w:rsidR="00D857B5">
        <w:rPr>
          <w:sz w:val="22"/>
          <w:szCs w:val="22"/>
        </w:rPr>
        <w:t>chron</w:t>
      </w:r>
      <w:proofErr w:type="spellEnd"/>
      <w:r w:rsidR="00D857B5">
        <w:rPr>
          <w:sz w:val="22"/>
          <w:szCs w:val="22"/>
        </w:rPr>
        <w:t>. n° 37</w:t>
      </w:r>
    </w:p>
    <w:p w14:paraId="1CD4E966" w14:textId="77777777" w:rsidR="00092762" w:rsidRPr="00092762" w:rsidRDefault="00092762" w:rsidP="00092762">
      <w:pPr>
        <w:rPr>
          <w:sz w:val="22"/>
          <w:szCs w:val="22"/>
        </w:rPr>
      </w:pPr>
    </w:p>
    <w:p w14:paraId="7DD529BD" w14:textId="09F27A66" w:rsidR="009969C6" w:rsidRDefault="009969C6" w:rsidP="009969C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« L’équation liberté, sécurité, justice au prisme de la rétention des demandeurs d’asile </w:t>
      </w:r>
      <w:r w:rsidRPr="006F2E65">
        <w:rPr>
          <w:i/>
          <w:iCs/>
          <w:sz w:val="22"/>
          <w:szCs w:val="22"/>
        </w:rPr>
        <w:t>»,</w:t>
      </w:r>
      <w:r w:rsidR="00D513AD">
        <w:rPr>
          <w:sz w:val="22"/>
          <w:szCs w:val="22"/>
        </w:rPr>
        <w:t>in</w:t>
      </w:r>
      <w:r w:rsidRPr="006F2E65">
        <w:rPr>
          <w:i/>
          <w:iCs/>
          <w:sz w:val="22"/>
          <w:szCs w:val="22"/>
        </w:rPr>
        <w:t xml:space="preserve"> </w:t>
      </w:r>
      <w:r w:rsidR="007E7CB4">
        <w:rPr>
          <w:i/>
          <w:iCs/>
          <w:sz w:val="22"/>
          <w:szCs w:val="22"/>
        </w:rPr>
        <w:t xml:space="preserve">Sa justice – L’espace de liberté, de sécurité et de justice - </w:t>
      </w:r>
      <w:r w:rsidRPr="006F2E65">
        <w:rPr>
          <w:i/>
          <w:iCs/>
          <w:sz w:val="22"/>
          <w:szCs w:val="22"/>
        </w:rPr>
        <w:t xml:space="preserve">Liber </w:t>
      </w:r>
      <w:proofErr w:type="spellStart"/>
      <w:r w:rsidRPr="006F2E65">
        <w:rPr>
          <w:i/>
          <w:iCs/>
          <w:sz w:val="22"/>
          <w:szCs w:val="22"/>
        </w:rPr>
        <w:t>amicorum</w:t>
      </w:r>
      <w:proofErr w:type="spellEnd"/>
      <w:r w:rsidRPr="006F2E65">
        <w:rPr>
          <w:i/>
          <w:iCs/>
          <w:sz w:val="22"/>
          <w:szCs w:val="22"/>
        </w:rPr>
        <w:t xml:space="preserve"> Yves Bot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Bruylant</w:t>
      </w:r>
      <w:proofErr w:type="spellEnd"/>
      <w:r>
        <w:rPr>
          <w:sz w:val="22"/>
          <w:szCs w:val="22"/>
        </w:rPr>
        <w:t xml:space="preserve">, </w:t>
      </w:r>
      <w:r w:rsidR="00315610">
        <w:rPr>
          <w:sz w:val="22"/>
          <w:szCs w:val="22"/>
        </w:rPr>
        <w:t xml:space="preserve">Bruxelles, </w:t>
      </w:r>
      <w:r>
        <w:rPr>
          <w:sz w:val="22"/>
          <w:szCs w:val="22"/>
        </w:rPr>
        <w:t>2022, pp. 605-629</w:t>
      </w:r>
    </w:p>
    <w:p w14:paraId="75AF44F9" w14:textId="77777777" w:rsidR="009969C6" w:rsidRDefault="009969C6" w:rsidP="009969C6">
      <w:pPr>
        <w:pStyle w:val="Paragraphedeliste"/>
        <w:ind w:left="643"/>
        <w:rPr>
          <w:sz w:val="22"/>
          <w:szCs w:val="22"/>
        </w:rPr>
      </w:pPr>
    </w:p>
    <w:p w14:paraId="5FF5F479" w14:textId="0A936FB4" w:rsidR="009969C6" w:rsidRDefault="009969C6" w:rsidP="009969C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« Individualisation et recevabilité des griefs devant les organes européens de protection des droits de l’homme – L’archétype du</w:t>
      </w:r>
      <w:r w:rsidR="000929E5">
        <w:rPr>
          <w:sz w:val="22"/>
          <w:szCs w:val="22"/>
        </w:rPr>
        <w:t xml:space="preserve"> système de </w:t>
      </w:r>
      <w:r>
        <w:rPr>
          <w:sz w:val="22"/>
          <w:szCs w:val="22"/>
        </w:rPr>
        <w:t>la Co</w:t>
      </w:r>
      <w:r w:rsidR="000929E5">
        <w:rPr>
          <w:sz w:val="22"/>
          <w:szCs w:val="22"/>
        </w:rPr>
        <w:t>nvention</w:t>
      </w:r>
      <w:r>
        <w:rPr>
          <w:sz w:val="22"/>
          <w:szCs w:val="22"/>
        </w:rPr>
        <w:t xml:space="preserve"> européenne des droits de l’homme », in </w:t>
      </w:r>
      <w:r w:rsidRPr="00C0643A">
        <w:rPr>
          <w:sz w:val="22"/>
          <w:szCs w:val="22"/>
        </w:rPr>
        <w:t>C. Boiteux-</w:t>
      </w:r>
      <w:proofErr w:type="spellStart"/>
      <w:r w:rsidRPr="00C0643A">
        <w:rPr>
          <w:sz w:val="22"/>
          <w:szCs w:val="22"/>
        </w:rPr>
        <w:t>Picheral</w:t>
      </w:r>
      <w:proofErr w:type="spellEnd"/>
      <w:r w:rsidRPr="00C0643A">
        <w:rPr>
          <w:sz w:val="22"/>
          <w:szCs w:val="22"/>
        </w:rPr>
        <w:t xml:space="preserve"> (</w:t>
      </w:r>
      <w:proofErr w:type="spellStart"/>
      <w:r w:rsidRPr="00C0643A">
        <w:rPr>
          <w:sz w:val="22"/>
          <w:szCs w:val="22"/>
        </w:rPr>
        <w:t>Dir</w:t>
      </w:r>
      <w:proofErr w:type="spellEnd"/>
      <w:r w:rsidRPr="00C0643A">
        <w:rPr>
          <w:sz w:val="22"/>
          <w:szCs w:val="22"/>
        </w:rPr>
        <w:t>.),</w:t>
      </w:r>
      <w:r>
        <w:rPr>
          <w:sz w:val="22"/>
          <w:szCs w:val="22"/>
        </w:rPr>
        <w:t xml:space="preserve"> </w:t>
      </w:r>
      <w:r w:rsidRPr="00476F6A">
        <w:rPr>
          <w:i/>
          <w:iCs/>
          <w:sz w:val="22"/>
          <w:szCs w:val="22"/>
        </w:rPr>
        <w:t>Les droits de l’homme face aux risques pour l’humanité</w:t>
      </w:r>
      <w:r>
        <w:rPr>
          <w:sz w:val="22"/>
          <w:szCs w:val="22"/>
        </w:rPr>
        <w:t xml:space="preserve">, LexisNexis, </w:t>
      </w:r>
      <w:r w:rsidR="00315610">
        <w:rPr>
          <w:sz w:val="22"/>
          <w:szCs w:val="22"/>
        </w:rPr>
        <w:t xml:space="preserve">Paris, </w:t>
      </w:r>
      <w:r>
        <w:rPr>
          <w:sz w:val="22"/>
          <w:szCs w:val="22"/>
        </w:rPr>
        <w:t>2022, pp. 55-73</w:t>
      </w:r>
    </w:p>
    <w:p w14:paraId="52CD1925" w14:textId="77777777" w:rsidR="009969C6" w:rsidRDefault="009969C6" w:rsidP="0052771E">
      <w:pPr>
        <w:spacing w:line="276" w:lineRule="auto"/>
        <w:jc w:val="both"/>
        <w:rPr>
          <w:sz w:val="22"/>
          <w:szCs w:val="22"/>
        </w:rPr>
      </w:pPr>
    </w:p>
    <w:p w14:paraId="214A73EA" w14:textId="398283B3" w:rsidR="009969C6" w:rsidRPr="006C3A16" w:rsidRDefault="009969C6" w:rsidP="009969C6">
      <w:pPr>
        <w:pStyle w:val="Paragraphedelist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0643A">
        <w:rPr>
          <w:sz w:val="22"/>
          <w:szCs w:val="22"/>
        </w:rPr>
        <w:t>« Introduction – Vers une protection systématisée des personnes vulnérables », in</w:t>
      </w:r>
      <w:r w:rsidRPr="00C0643A">
        <w:rPr>
          <w:b/>
          <w:sz w:val="22"/>
          <w:szCs w:val="22"/>
        </w:rPr>
        <w:t xml:space="preserve"> </w:t>
      </w:r>
      <w:r w:rsidRPr="00C0643A">
        <w:rPr>
          <w:sz w:val="22"/>
          <w:szCs w:val="22"/>
        </w:rPr>
        <w:t>C. Boiteux-</w:t>
      </w:r>
      <w:proofErr w:type="spellStart"/>
      <w:r w:rsidRPr="00C0643A">
        <w:rPr>
          <w:sz w:val="22"/>
          <w:szCs w:val="22"/>
        </w:rPr>
        <w:t>Picheral</w:t>
      </w:r>
      <w:proofErr w:type="spellEnd"/>
      <w:r w:rsidRPr="00C0643A">
        <w:rPr>
          <w:sz w:val="22"/>
          <w:szCs w:val="22"/>
        </w:rPr>
        <w:t xml:space="preserve"> (</w:t>
      </w:r>
      <w:proofErr w:type="spellStart"/>
      <w:r w:rsidRPr="00C0643A">
        <w:rPr>
          <w:sz w:val="22"/>
          <w:szCs w:val="22"/>
        </w:rPr>
        <w:t>Dir</w:t>
      </w:r>
      <w:proofErr w:type="spellEnd"/>
      <w:r w:rsidRPr="00C0643A">
        <w:rPr>
          <w:sz w:val="22"/>
          <w:szCs w:val="22"/>
        </w:rPr>
        <w:t xml:space="preserve">.), </w:t>
      </w:r>
      <w:r w:rsidRPr="00C0643A">
        <w:rPr>
          <w:i/>
          <w:sz w:val="22"/>
          <w:szCs w:val="22"/>
        </w:rPr>
        <w:t>La vulnérabilité en droit européen des droits de l’homme –</w:t>
      </w:r>
      <w:r w:rsidRPr="00C0643A">
        <w:rPr>
          <w:sz w:val="22"/>
          <w:szCs w:val="22"/>
        </w:rPr>
        <w:t xml:space="preserve"> </w:t>
      </w:r>
      <w:r w:rsidRPr="00C0643A">
        <w:rPr>
          <w:i/>
          <w:sz w:val="22"/>
          <w:szCs w:val="22"/>
        </w:rPr>
        <w:t>Conception(s) et fonction(s)</w:t>
      </w:r>
      <w:r w:rsidRPr="00C0643A">
        <w:rPr>
          <w:sz w:val="22"/>
          <w:szCs w:val="22"/>
        </w:rPr>
        <w:t xml:space="preserve">, Némésis-Anthémis, </w:t>
      </w:r>
      <w:r w:rsidR="00315610">
        <w:rPr>
          <w:sz w:val="22"/>
          <w:szCs w:val="22"/>
        </w:rPr>
        <w:t xml:space="preserve">Bruxelles, </w:t>
      </w:r>
      <w:r w:rsidRPr="00C0643A">
        <w:rPr>
          <w:sz w:val="22"/>
          <w:szCs w:val="22"/>
        </w:rPr>
        <w:t>coll. « Droit et Justice », n° 118, 2019, pp. 7-29</w:t>
      </w:r>
    </w:p>
    <w:p w14:paraId="404D98D2" w14:textId="77777777" w:rsidR="009969C6" w:rsidRPr="00C0643A" w:rsidRDefault="009969C6" w:rsidP="009969C6">
      <w:pPr>
        <w:pStyle w:val="Paragraphedeliste"/>
        <w:ind w:left="283"/>
        <w:jc w:val="both"/>
        <w:rPr>
          <w:b/>
          <w:sz w:val="22"/>
          <w:szCs w:val="22"/>
        </w:rPr>
      </w:pPr>
    </w:p>
    <w:p w14:paraId="7BEC8EB2" w14:textId="2D8F72DB" w:rsidR="009969C6" w:rsidRPr="002B7092" w:rsidRDefault="009969C6" w:rsidP="009969C6">
      <w:pPr>
        <w:pStyle w:val="Retraitcorpsdetexte"/>
        <w:numPr>
          <w:ilvl w:val="0"/>
          <w:numId w:val="3"/>
        </w:numPr>
        <w:jc w:val="both"/>
        <w:rPr>
          <w:b/>
          <w:smallCaps/>
          <w:sz w:val="22"/>
          <w:szCs w:val="22"/>
        </w:rPr>
      </w:pPr>
      <w:r w:rsidRPr="00C0643A">
        <w:rPr>
          <w:sz w:val="22"/>
          <w:szCs w:val="22"/>
        </w:rPr>
        <w:t xml:space="preserve"> « La portée transversale de la vulnérabilité dans la jurisprudence de la Cour européenne des droits de l’homme »</w:t>
      </w:r>
      <w:r>
        <w:rPr>
          <w:sz w:val="22"/>
          <w:szCs w:val="22"/>
        </w:rPr>
        <w:t xml:space="preserve"> (en coll. avec </w:t>
      </w:r>
      <w:r w:rsidRPr="00C0643A">
        <w:rPr>
          <w:sz w:val="22"/>
          <w:szCs w:val="22"/>
        </w:rPr>
        <w:t>H. Hardy</w:t>
      </w:r>
      <w:r>
        <w:rPr>
          <w:sz w:val="22"/>
          <w:szCs w:val="22"/>
        </w:rPr>
        <w:t>)</w:t>
      </w:r>
      <w:r w:rsidRPr="00C0643A">
        <w:rPr>
          <w:sz w:val="22"/>
          <w:szCs w:val="22"/>
        </w:rPr>
        <w:t>, in C. Boiteux-</w:t>
      </w:r>
      <w:proofErr w:type="spellStart"/>
      <w:r w:rsidRPr="00C0643A">
        <w:rPr>
          <w:sz w:val="22"/>
          <w:szCs w:val="22"/>
        </w:rPr>
        <w:t>Picheral</w:t>
      </w:r>
      <w:proofErr w:type="spellEnd"/>
      <w:r w:rsidRPr="00C0643A">
        <w:rPr>
          <w:sz w:val="22"/>
          <w:szCs w:val="22"/>
        </w:rPr>
        <w:t xml:space="preserve"> (</w:t>
      </w:r>
      <w:proofErr w:type="spellStart"/>
      <w:r w:rsidRPr="00C0643A">
        <w:rPr>
          <w:sz w:val="22"/>
          <w:szCs w:val="22"/>
        </w:rPr>
        <w:t>Dir</w:t>
      </w:r>
      <w:proofErr w:type="spellEnd"/>
      <w:r w:rsidRPr="00C0643A">
        <w:rPr>
          <w:sz w:val="22"/>
          <w:szCs w:val="22"/>
        </w:rPr>
        <w:t xml:space="preserve">.), </w:t>
      </w:r>
      <w:r w:rsidRPr="00C0643A">
        <w:rPr>
          <w:i/>
          <w:sz w:val="22"/>
          <w:szCs w:val="22"/>
        </w:rPr>
        <w:t>La vulnérabilité en droit européen des droits de l’homme – Conception(s) et fonction(s)</w:t>
      </w:r>
      <w:r w:rsidRPr="00C0643A">
        <w:rPr>
          <w:sz w:val="22"/>
          <w:szCs w:val="22"/>
        </w:rPr>
        <w:t xml:space="preserve">, Némésis-Anthémis, </w:t>
      </w:r>
      <w:r w:rsidR="00315610">
        <w:rPr>
          <w:sz w:val="22"/>
          <w:szCs w:val="22"/>
        </w:rPr>
        <w:t xml:space="preserve">Bruxelles, </w:t>
      </w:r>
      <w:r w:rsidRPr="00C0643A">
        <w:rPr>
          <w:sz w:val="22"/>
          <w:szCs w:val="22"/>
        </w:rPr>
        <w:t>coll. « Droit et Justice », n° 118, 2019,</w:t>
      </w:r>
      <w:r>
        <w:rPr>
          <w:sz w:val="22"/>
          <w:szCs w:val="22"/>
        </w:rPr>
        <w:t xml:space="preserve"> </w:t>
      </w:r>
      <w:r w:rsidRPr="00C0643A">
        <w:rPr>
          <w:sz w:val="22"/>
          <w:szCs w:val="22"/>
        </w:rPr>
        <w:t>pp. 119-160</w:t>
      </w:r>
    </w:p>
    <w:p w14:paraId="3D2B3DC6" w14:textId="77777777" w:rsidR="009969C6" w:rsidRDefault="009969C6" w:rsidP="009969C6">
      <w:pPr>
        <w:spacing w:line="276" w:lineRule="auto"/>
        <w:ind w:left="643"/>
        <w:jc w:val="both"/>
        <w:rPr>
          <w:sz w:val="22"/>
          <w:szCs w:val="22"/>
        </w:rPr>
      </w:pPr>
    </w:p>
    <w:p w14:paraId="189A223B" w14:textId="25AB1097" w:rsidR="00102C35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L’accès des demandeurs d’asile au logement et à l’éducation en France », in C-A. </w:t>
      </w:r>
      <w:proofErr w:type="spellStart"/>
      <w:r>
        <w:rPr>
          <w:sz w:val="22"/>
          <w:szCs w:val="22"/>
        </w:rPr>
        <w:t>Chassin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 w:rsidRPr="00D62470">
        <w:rPr>
          <w:i/>
          <w:sz w:val="22"/>
          <w:szCs w:val="22"/>
        </w:rPr>
        <w:t>La réforme de l’asile mise en œuvre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Pedone</w:t>
      </w:r>
      <w:proofErr w:type="spellEnd"/>
      <w:r>
        <w:rPr>
          <w:sz w:val="22"/>
          <w:szCs w:val="22"/>
        </w:rPr>
        <w:t xml:space="preserve">, </w:t>
      </w:r>
      <w:r w:rsidR="00315610">
        <w:rPr>
          <w:sz w:val="22"/>
          <w:szCs w:val="22"/>
        </w:rPr>
        <w:t xml:space="preserve">Paris, </w:t>
      </w:r>
      <w:r>
        <w:rPr>
          <w:sz w:val="22"/>
          <w:szCs w:val="22"/>
        </w:rPr>
        <w:t>2017, pp. 121-134.</w:t>
      </w:r>
    </w:p>
    <w:p w14:paraId="2EA84334" w14:textId="77777777" w:rsidR="00FA53AE" w:rsidRDefault="00FA53AE" w:rsidP="00FA53AE">
      <w:pPr>
        <w:spacing w:line="276" w:lineRule="auto"/>
        <w:jc w:val="both"/>
        <w:rPr>
          <w:sz w:val="22"/>
          <w:szCs w:val="22"/>
        </w:rPr>
      </w:pPr>
    </w:p>
    <w:p w14:paraId="1255D521" w14:textId="080139E6" w:rsidR="0002030B" w:rsidRPr="00E47B23" w:rsidRDefault="0002030B" w:rsidP="0002030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L’interdiction de sortie du territoire et le contrôle des retours » in L. Milano et K. </w:t>
      </w:r>
      <w:proofErr w:type="spellStart"/>
      <w:r>
        <w:rPr>
          <w:sz w:val="22"/>
          <w:szCs w:val="22"/>
        </w:rPr>
        <w:t>Blay-Grabarczyk</w:t>
      </w:r>
      <w:proofErr w:type="spellEnd"/>
      <w:r w:rsidR="00CA726D">
        <w:rPr>
          <w:sz w:val="22"/>
          <w:szCs w:val="22"/>
        </w:rPr>
        <w:t xml:space="preserve"> (</w:t>
      </w:r>
      <w:proofErr w:type="spellStart"/>
      <w:r w:rsidR="00CA726D">
        <w:rPr>
          <w:sz w:val="22"/>
          <w:szCs w:val="22"/>
        </w:rPr>
        <w:t>Dir</w:t>
      </w:r>
      <w:proofErr w:type="spellEnd"/>
      <w:r w:rsidR="00CA726D">
        <w:rPr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CA726D">
        <w:rPr>
          <w:i/>
          <w:iCs/>
          <w:sz w:val="22"/>
          <w:szCs w:val="22"/>
        </w:rPr>
        <w:t>Le nouveau cadre législatif de la lutte contre le terrorisme à l’épreuve des droits fondamentaux</w:t>
      </w:r>
      <w:r>
        <w:rPr>
          <w:sz w:val="22"/>
          <w:szCs w:val="22"/>
        </w:rPr>
        <w:t>, Actes du colloque d</w:t>
      </w:r>
      <w:r w:rsidR="00CA726D">
        <w:rPr>
          <w:sz w:val="22"/>
          <w:szCs w:val="22"/>
        </w:rPr>
        <w:t xml:space="preserve">u 3 février 2017 </w:t>
      </w:r>
      <w:r>
        <w:rPr>
          <w:sz w:val="22"/>
          <w:szCs w:val="22"/>
        </w:rPr>
        <w:t xml:space="preserve">(Université </w:t>
      </w:r>
      <w:r w:rsidR="00CA726D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Montpellier, IDEDH), </w:t>
      </w:r>
      <w:r w:rsidR="00CA726D" w:rsidRPr="000E3086">
        <w:rPr>
          <w:sz w:val="22"/>
          <w:szCs w:val="22"/>
        </w:rPr>
        <w:t xml:space="preserve">LGDJ Lextenso, </w:t>
      </w:r>
      <w:r w:rsidR="00CA726D">
        <w:rPr>
          <w:sz w:val="22"/>
          <w:szCs w:val="22"/>
        </w:rPr>
        <w:t xml:space="preserve">Paris, </w:t>
      </w:r>
      <w:r w:rsidR="00CA726D" w:rsidRPr="000E3086">
        <w:rPr>
          <w:sz w:val="22"/>
          <w:szCs w:val="22"/>
        </w:rPr>
        <w:t>collection « Colloques &amp; Essais », Institut Universitaire Varennes, 2017,</w:t>
      </w:r>
      <w:r w:rsidR="00CA726D">
        <w:rPr>
          <w:sz w:val="22"/>
          <w:szCs w:val="22"/>
        </w:rPr>
        <w:t xml:space="preserve"> pp. 37-54.</w:t>
      </w:r>
    </w:p>
    <w:p w14:paraId="159E4849" w14:textId="77777777" w:rsidR="00102C35" w:rsidRPr="00652B57" w:rsidRDefault="00102C35" w:rsidP="00102C35">
      <w:pPr>
        <w:spacing w:line="276" w:lineRule="auto"/>
        <w:jc w:val="both"/>
        <w:rPr>
          <w:sz w:val="22"/>
          <w:szCs w:val="22"/>
        </w:rPr>
      </w:pPr>
    </w:p>
    <w:p w14:paraId="7447D369" w14:textId="22A05745" w:rsidR="00102C35" w:rsidRPr="006F41BF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Les combinaisons fonctionnelles du critère du domaine dans la reconnaissance de la subsidiarité » in G. Gonzalez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 w:rsidRPr="00652B57">
        <w:rPr>
          <w:i/>
          <w:sz w:val="22"/>
          <w:szCs w:val="22"/>
        </w:rPr>
        <w:t>La subsidiarité conventionnelle en question – Essai de systématisation</w:t>
      </w:r>
      <w:r>
        <w:rPr>
          <w:sz w:val="22"/>
          <w:szCs w:val="22"/>
        </w:rPr>
        <w:t xml:space="preserve">, Némésis-Anthémis, </w:t>
      </w:r>
      <w:r w:rsidR="00315610">
        <w:rPr>
          <w:sz w:val="22"/>
          <w:szCs w:val="22"/>
        </w:rPr>
        <w:t xml:space="preserve">Bruxelles, </w:t>
      </w:r>
      <w:r>
        <w:rPr>
          <w:sz w:val="22"/>
          <w:szCs w:val="22"/>
        </w:rPr>
        <w:t>coll. « </w:t>
      </w:r>
      <w:proofErr w:type="spellStart"/>
      <w:r>
        <w:rPr>
          <w:sz w:val="22"/>
          <w:szCs w:val="22"/>
        </w:rPr>
        <w:t>Droit&amp;Justice</w:t>
      </w:r>
      <w:proofErr w:type="spellEnd"/>
      <w:r>
        <w:rPr>
          <w:sz w:val="22"/>
          <w:szCs w:val="22"/>
        </w:rPr>
        <w:t> », n° 114, 2016, pp. 202-219</w:t>
      </w:r>
    </w:p>
    <w:p w14:paraId="02865A82" w14:textId="77777777" w:rsidR="00102C35" w:rsidRDefault="00102C35" w:rsidP="00102C35">
      <w:pPr>
        <w:spacing w:line="276" w:lineRule="auto"/>
        <w:ind w:left="283" w:firstLine="1"/>
        <w:jc w:val="both"/>
        <w:rPr>
          <w:b/>
          <w:sz w:val="22"/>
          <w:szCs w:val="22"/>
        </w:rPr>
      </w:pPr>
    </w:p>
    <w:p w14:paraId="774AEE56" w14:textId="6A7BBFE7" w:rsidR="00102C35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« La liberté de recevoir et de communiquer des idées et des informations » in F. Sudre, J.-P. </w:t>
      </w:r>
      <w:proofErr w:type="spellStart"/>
      <w:r>
        <w:rPr>
          <w:sz w:val="22"/>
          <w:szCs w:val="22"/>
        </w:rPr>
        <w:t>Marguénaud</w:t>
      </w:r>
      <w:proofErr w:type="spellEnd"/>
      <w:r>
        <w:rPr>
          <w:sz w:val="22"/>
          <w:szCs w:val="22"/>
        </w:rPr>
        <w:t xml:space="preserve"> et al., </w:t>
      </w:r>
      <w:r w:rsidRPr="00E47B23">
        <w:rPr>
          <w:i/>
          <w:sz w:val="22"/>
          <w:szCs w:val="22"/>
        </w:rPr>
        <w:t>Les grands arrêts de la Cour européenne des droits de l’homme</w:t>
      </w:r>
      <w:r>
        <w:rPr>
          <w:sz w:val="22"/>
          <w:szCs w:val="22"/>
        </w:rPr>
        <w:t xml:space="preserve">, PUF, Thémis, </w:t>
      </w:r>
      <w:r w:rsidR="00315610">
        <w:rPr>
          <w:sz w:val="22"/>
          <w:szCs w:val="22"/>
        </w:rPr>
        <w:t xml:space="preserve">Paris, </w:t>
      </w:r>
      <w:r>
        <w:rPr>
          <w:sz w:val="22"/>
          <w:szCs w:val="22"/>
        </w:rPr>
        <w:t>7</w:t>
      </w:r>
      <w:r w:rsidRPr="00E47B23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éd., 2015, pp. 667-687</w:t>
      </w:r>
    </w:p>
    <w:p w14:paraId="2A429C30" w14:textId="77777777" w:rsidR="00102C35" w:rsidRDefault="00102C35" w:rsidP="0052771E">
      <w:pPr>
        <w:spacing w:line="276" w:lineRule="auto"/>
        <w:jc w:val="both"/>
        <w:rPr>
          <w:b/>
          <w:sz w:val="22"/>
          <w:szCs w:val="22"/>
        </w:rPr>
      </w:pPr>
    </w:p>
    <w:p w14:paraId="586EB122" w14:textId="287DE7DF" w:rsidR="00102C35" w:rsidRPr="00E47B23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 L’expression jurisprudentielle de la subsidiarité par la marge nationale d’appréciation » in F. Sudre et al.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 w:rsidRPr="00CD239D">
        <w:rPr>
          <w:i/>
          <w:sz w:val="22"/>
          <w:szCs w:val="22"/>
        </w:rPr>
        <w:t>La subsidiarité au sens du droit européen des droits de l’homme</w:t>
      </w:r>
      <w:r>
        <w:rPr>
          <w:sz w:val="22"/>
          <w:szCs w:val="22"/>
        </w:rPr>
        <w:t xml:space="preserve">, Actes du colloque des 18 et 19 octobre 2013 (Université Montpellier I, IDEDH), Némésis-Anthémis, </w:t>
      </w:r>
      <w:r w:rsidR="00315610">
        <w:rPr>
          <w:sz w:val="22"/>
          <w:szCs w:val="22"/>
        </w:rPr>
        <w:t xml:space="preserve">Bruxelles, </w:t>
      </w:r>
      <w:r>
        <w:rPr>
          <w:sz w:val="22"/>
          <w:szCs w:val="22"/>
        </w:rPr>
        <w:t>coll. « </w:t>
      </w:r>
      <w:proofErr w:type="spellStart"/>
      <w:r>
        <w:rPr>
          <w:sz w:val="22"/>
          <w:szCs w:val="22"/>
        </w:rPr>
        <w:t>Droit&amp;Justice</w:t>
      </w:r>
      <w:proofErr w:type="spellEnd"/>
      <w:r>
        <w:rPr>
          <w:sz w:val="22"/>
          <w:szCs w:val="22"/>
        </w:rPr>
        <w:t> », n° 108, 2014, pp. 87-114</w:t>
      </w:r>
    </w:p>
    <w:p w14:paraId="298E3B12" w14:textId="77777777" w:rsidR="00102C35" w:rsidRDefault="00102C35" w:rsidP="00102C35">
      <w:pPr>
        <w:spacing w:line="360" w:lineRule="auto"/>
        <w:jc w:val="both"/>
      </w:pPr>
    </w:p>
    <w:p w14:paraId="507CF396" w14:textId="55010D85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Les Etats membres de l’Union, des Etats sûrs au regard de l’asile ? Regards croisés sur une présomption recadrée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</w:t>
      </w:r>
      <w:r w:rsidR="00D513AD">
        <w:rPr>
          <w:sz w:val="22"/>
          <w:szCs w:val="22"/>
        </w:rPr>
        <w:t xml:space="preserve">in C. </w:t>
      </w:r>
      <w:proofErr w:type="spellStart"/>
      <w:r w:rsidR="00D513AD">
        <w:rPr>
          <w:sz w:val="22"/>
          <w:szCs w:val="22"/>
        </w:rPr>
        <w:t>Boutayeb</w:t>
      </w:r>
      <w:proofErr w:type="spellEnd"/>
      <w:r w:rsidR="00D513AD">
        <w:rPr>
          <w:sz w:val="22"/>
          <w:szCs w:val="22"/>
        </w:rPr>
        <w:t xml:space="preserve"> (</w:t>
      </w:r>
      <w:proofErr w:type="spellStart"/>
      <w:r w:rsidR="00D513AD">
        <w:rPr>
          <w:sz w:val="22"/>
          <w:szCs w:val="22"/>
        </w:rPr>
        <w:t>Dir</w:t>
      </w:r>
      <w:proofErr w:type="spellEnd"/>
      <w:r w:rsidR="00D513AD">
        <w:rPr>
          <w:sz w:val="22"/>
          <w:szCs w:val="22"/>
        </w:rPr>
        <w:t xml:space="preserve">.), </w:t>
      </w:r>
      <w:r w:rsidR="00D513AD" w:rsidRPr="00D513AD">
        <w:rPr>
          <w:i/>
          <w:iCs/>
          <w:sz w:val="22"/>
          <w:szCs w:val="22"/>
        </w:rPr>
        <w:t>La Constitution, l’Europe et le droit -</w:t>
      </w:r>
      <w:r w:rsidR="00D513AD">
        <w:rPr>
          <w:sz w:val="22"/>
          <w:szCs w:val="22"/>
        </w:rPr>
        <w:t xml:space="preserve"> </w:t>
      </w:r>
      <w:r w:rsidR="00102C35" w:rsidRPr="000929E5">
        <w:rPr>
          <w:i/>
          <w:sz w:val="22"/>
          <w:szCs w:val="22"/>
        </w:rPr>
        <w:t xml:space="preserve">Mélanges </w:t>
      </w:r>
      <w:r w:rsidR="00D513AD">
        <w:rPr>
          <w:i/>
          <w:sz w:val="22"/>
          <w:szCs w:val="22"/>
        </w:rPr>
        <w:t xml:space="preserve">en l’honneur de J. Cl. </w:t>
      </w:r>
      <w:proofErr w:type="spellStart"/>
      <w:r w:rsidR="00102C35" w:rsidRPr="000929E5">
        <w:rPr>
          <w:i/>
          <w:sz w:val="22"/>
          <w:szCs w:val="22"/>
        </w:rPr>
        <w:t>Masclet</w:t>
      </w:r>
      <w:proofErr w:type="spellEnd"/>
      <w:r w:rsidR="00102C35" w:rsidRPr="000929E5">
        <w:rPr>
          <w:sz w:val="22"/>
          <w:szCs w:val="22"/>
        </w:rPr>
        <w:t>, Publications de la Sorbonne, Paris, 2013, pp. 867-886.</w:t>
      </w:r>
    </w:p>
    <w:p w14:paraId="6499975C" w14:textId="77777777" w:rsidR="00102C35" w:rsidRPr="000929E5" w:rsidRDefault="00102C35" w:rsidP="00102C35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73508467" w14:textId="37D3CECF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L’ordre public en droit européen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>, in Ch. Dubreuil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L’ordre public</w:t>
      </w:r>
      <w:r w:rsidR="00102C35" w:rsidRPr="000929E5">
        <w:rPr>
          <w:sz w:val="22"/>
          <w:szCs w:val="22"/>
        </w:rPr>
        <w:t>, Actes du colloque des 15 et 16 décembre 2011 (Université d’Auvergne, Centre Michel de l’Hospital), Cujas, Paris, coll. Actes</w:t>
      </w:r>
      <w:r w:rsidR="0082137F">
        <w:rPr>
          <w:sz w:val="22"/>
          <w:szCs w:val="22"/>
        </w:rPr>
        <w:t xml:space="preserve"> </w:t>
      </w:r>
      <w:r w:rsidR="00102C35" w:rsidRPr="000929E5">
        <w:rPr>
          <w:sz w:val="22"/>
          <w:szCs w:val="22"/>
        </w:rPr>
        <w:t>&amp;</w:t>
      </w:r>
      <w:r w:rsidR="0082137F">
        <w:rPr>
          <w:sz w:val="22"/>
          <w:szCs w:val="22"/>
        </w:rPr>
        <w:t xml:space="preserve"> </w:t>
      </w:r>
      <w:r w:rsidR="00102C35" w:rsidRPr="000929E5">
        <w:rPr>
          <w:sz w:val="22"/>
          <w:szCs w:val="22"/>
        </w:rPr>
        <w:t>Etudes, 2013, pp. 103-115.</w:t>
      </w:r>
    </w:p>
    <w:p w14:paraId="14AA50D7" w14:textId="77777777" w:rsidR="00102C35" w:rsidRPr="000929E5" w:rsidRDefault="00102C35" w:rsidP="0082137F">
      <w:pPr>
        <w:spacing w:line="276" w:lineRule="auto"/>
        <w:jc w:val="both"/>
        <w:rPr>
          <w:sz w:val="22"/>
          <w:szCs w:val="22"/>
        </w:rPr>
      </w:pPr>
    </w:p>
    <w:p w14:paraId="64EBFCC7" w14:textId="261F9FD2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Le mode d’ajustement de la Cour européenne des droits de l’homme au droit communautaire- Mérites et limites de la théorie de l’équivalence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L. </w:t>
      </w:r>
      <w:proofErr w:type="spellStart"/>
      <w:r w:rsidR="00102C35" w:rsidRPr="000929E5">
        <w:rPr>
          <w:sz w:val="22"/>
          <w:szCs w:val="22"/>
        </w:rPr>
        <w:t>Coutron</w:t>
      </w:r>
      <w:proofErr w:type="spellEnd"/>
      <w:r w:rsidR="00102C35" w:rsidRPr="000929E5">
        <w:rPr>
          <w:sz w:val="22"/>
          <w:szCs w:val="22"/>
        </w:rPr>
        <w:t xml:space="preserve">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Charte des droits fondamentaux de l’Union européenne et Convention européenne des droits de l’homme</w:t>
      </w:r>
      <w:r w:rsidR="00102C35" w:rsidRPr="000929E5">
        <w:rPr>
          <w:sz w:val="22"/>
          <w:szCs w:val="22"/>
        </w:rPr>
        <w:t>, Bruylant, Bruxelles, coll. « Droit de la Convention européenne des droits de l’homme » - colloques, 2012, pp. 69-92.</w:t>
      </w:r>
    </w:p>
    <w:p w14:paraId="4C4D52BB" w14:textId="77777777" w:rsidR="00102C35" w:rsidRPr="000929E5" w:rsidRDefault="00102C35" w:rsidP="00102C35">
      <w:pPr>
        <w:spacing w:line="276" w:lineRule="auto"/>
        <w:ind w:left="283"/>
        <w:jc w:val="both"/>
        <w:rPr>
          <w:sz w:val="22"/>
          <w:szCs w:val="22"/>
        </w:rPr>
      </w:pPr>
    </w:p>
    <w:p w14:paraId="4D6BB41D" w14:textId="73C53B57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Du maniement du droit au procès équitable par la Cour de justice de l’Union européenne – Rapport introductif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Le droit au procès équitable au sens du droit de l’Union européenne</w:t>
      </w:r>
      <w:r w:rsidR="00102C35" w:rsidRPr="000929E5">
        <w:rPr>
          <w:sz w:val="22"/>
          <w:szCs w:val="22"/>
        </w:rPr>
        <w:t>, Némésis-Anthémis, Bruxelles, coll. « Droit et justice », 2012, pp. 3-38.</w:t>
      </w:r>
    </w:p>
    <w:p w14:paraId="37E990C1" w14:textId="77777777" w:rsidR="00102C35" w:rsidRPr="000929E5" w:rsidRDefault="00102C35" w:rsidP="00102C35">
      <w:pPr>
        <w:spacing w:line="276" w:lineRule="auto"/>
        <w:ind w:left="283"/>
        <w:jc w:val="both"/>
        <w:rPr>
          <w:sz w:val="22"/>
          <w:szCs w:val="22"/>
        </w:rPr>
      </w:pPr>
    </w:p>
    <w:p w14:paraId="16631C40" w14:textId="116F214A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Propos introductifs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Dialogue des juges et européanisation du droit administratif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>, n° 13, Montpellier, 2012, pp. 7-18.</w:t>
      </w:r>
    </w:p>
    <w:p w14:paraId="733F7872" w14:textId="77777777" w:rsidR="00102C35" w:rsidRPr="000929E5" w:rsidRDefault="00102C35" w:rsidP="00102C35">
      <w:pPr>
        <w:spacing w:line="276" w:lineRule="auto"/>
        <w:ind w:left="284"/>
        <w:jc w:val="both"/>
        <w:rPr>
          <w:sz w:val="22"/>
          <w:szCs w:val="22"/>
        </w:rPr>
      </w:pPr>
    </w:p>
    <w:p w14:paraId="64FCAC44" w14:textId="06ECEF7B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Les modes diversifiés de contribution du dialogue des juges à l’adaptation du droit administratif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Dialogue des juges et européanisation du droit administratif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>, n° 13, Montpellier, 2012, pp. 366-422.</w:t>
      </w:r>
    </w:p>
    <w:p w14:paraId="4C699A79" w14:textId="77777777" w:rsidR="00102C35" w:rsidRPr="000929E5" w:rsidRDefault="00102C35" w:rsidP="00102C35">
      <w:pPr>
        <w:spacing w:line="276" w:lineRule="auto"/>
        <w:jc w:val="both"/>
        <w:rPr>
          <w:b/>
          <w:sz w:val="22"/>
          <w:szCs w:val="22"/>
        </w:rPr>
      </w:pPr>
    </w:p>
    <w:p w14:paraId="0A57F1C5" w14:textId="69629EF0" w:rsidR="00102C35" w:rsidRPr="000929E5" w:rsidRDefault="000929E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La solidarité dans la Charte des droits fondamentaux de l’Union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Ch. </w:t>
      </w:r>
      <w:proofErr w:type="spellStart"/>
      <w:r w:rsidR="00102C35" w:rsidRPr="000929E5">
        <w:rPr>
          <w:sz w:val="22"/>
          <w:szCs w:val="22"/>
        </w:rPr>
        <w:t>Boutayeb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solidarité dans l’Union européenne – Pierre angulaire d’un système juridique</w:t>
      </w:r>
      <w:r w:rsidR="00102C35" w:rsidRPr="000929E5">
        <w:rPr>
          <w:sz w:val="22"/>
          <w:szCs w:val="22"/>
        </w:rPr>
        <w:t>, Dalloz, Paris, coll. « Thèmes et commentaires », 2011, pp. 93-105.</w:t>
      </w:r>
    </w:p>
    <w:p w14:paraId="6AE2D5ED" w14:textId="77777777" w:rsidR="00102C35" w:rsidRPr="000929E5" w:rsidRDefault="00102C35" w:rsidP="00102C35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1B35CA41" w14:textId="4963EE2B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La légitimité du juge européen comme auteur du/de droit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>, in L. Fontaine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Droit et légitimité</w:t>
      </w:r>
      <w:r w:rsidR="00102C35" w:rsidRPr="000929E5">
        <w:rPr>
          <w:sz w:val="22"/>
          <w:szCs w:val="22"/>
        </w:rPr>
        <w:t>, Actes du colloque des 19 et 20 novembre 2009 (Université de Caen), Bruylant-Némésis, Bruxelles, coll. « Droit et justice », n° 96, 2011, pp. 113-147.</w:t>
      </w:r>
    </w:p>
    <w:p w14:paraId="5B95F295" w14:textId="77777777" w:rsidR="00102C35" w:rsidRPr="000929E5" w:rsidRDefault="00102C35" w:rsidP="00102C35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22882B3A" w14:textId="5F41FD77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Pluralisme et droits des minorités dans la jurisprudence européenne des droits de l’homme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M. </w:t>
      </w:r>
      <w:proofErr w:type="spellStart"/>
      <w:r w:rsidR="00102C35" w:rsidRPr="000929E5">
        <w:rPr>
          <w:sz w:val="22"/>
          <w:szCs w:val="22"/>
        </w:rPr>
        <w:t>Levinet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Pluralisme et juges européens des droits de l’homme</w:t>
      </w:r>
      <w:r w:rsidR="00102C35" w:rsidRPr="000929E5">
        <w:rPr>
          <w:sz w:val="22"/>
          <w:szCs w:val="22"/>
        </w:rPr>
        <w:t>, Bruylant, Bruxelles, coll. « Droit et justice », 2010, pp. 295-316.</w:t>
      </w:r>
    </w:p>
    <w:p w14:paraId="0693F78F" w14:textId="77777777" w:rsidR="00102C35" w:rsidRPr="000929E5" w:rsidRDefault="00102C35" w:rsidP="0052771E">
      <w:pPr>
        <w:spacing w:line="276" w:lineRule="auto"/>
        <w:jc w:val="both"/>
        <w:rPr>
          <w:sz w:val="22"/>
          <w:szCs w:val="22"/>
        </w:rPr>
      </w:pPr>
    </w:p>
    <w:p w14:paraId="758CDDFF" w14:textId="21722C9B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 </w:t>
      </w:r>
      <w:r w:rsidR="00102C35" w:rsidRPr="000929E5">
        <w:rPr>
          <w:sz w:val="22"/>
          <w:szCs w:val="22"/>
        </w:rPr>
        <w:t>L’égalité des armes et la place du Ministère public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</w:t>
      </w:r>
      <w:r w:rsidR="00102C35" w:rsidRPr="000929E5">
        <w:rPr>
          <w:i/>
          <w:sz w:val="22"/>
          <w:szCs w:val="22"/>
        </w:rPr>
        <w:t>Réforme des procédures devant les juridictions financières et Convention européenne des droits de l’homme</w:t>
      </w:r>
      <w:r w:rsidR="00102C35" w:rsidRPr="000929E5">
        <w:rPr>
          <w:sz w:val="22"/>
          <w:szCs w:val="22"/>
        </w:rPr>
        <w:t xml:space="preserve">, Actes du colloque des 30 et 31 octobre 2008 (Institut de droit européen des droits de l’homme et Société française de Finances publiques), </w:t>
      </w:r>
      <w:r w:rsidR="00102C35" w:rsidRPr="000929E5">
        <w:rPr>
          <w:i/>
          <w:sz w:val="22"/>
          <w:szCs w:val="22"/>
        </w:rPr>
        <w:t>Revue française de Finances publiques</w:t>
      </w:r>
      <w:r w:rsidR="00102C35" w:rsidRPr="000929E5">
        <w:rPr>
          <w:sz w:val="22"/>
          <w:szCs w:val="22"/>
        </w:rPr>
        <w:t>, n° 106, avril 2009, pp. 139-159.</w:t>
      </w:r>
    </w:p>
    <w:p w14:paraId="382D708E" w14:textId="77777777" w:rsidR="00102C35" w:rsidRPr="000929E5" w:rsidRDefault="00102C35" w:rsidP="00102C35">
      <w:pPr>
        <w:pStyle w:val="Retraitcorpsdetexte"/>
        <w:spacing w:line="276" w:lineRule="auto"/>
        <w:ind w:left="0" w:firstLine="284"/>
        <w:jc w:val="both"/>
        <w:rPr>
          <w:b/>
          <w:sz w:val="22"/>
          <w:szCs w:val="22"/>
        </w:rPr>
      </w:pPr>
    </w:p>
    <w:p w14:paraId="4243C73C" w14:textId="5D567FF8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L’hypothèse d’un droit à l’environnement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</w:t>
      </w:r>
      <w:proofErr w:type="spellStart"/>
      <w:r w:rsidR="00102C35" w:rsidRPr="000929E5">
        <w:rPr>
          <w:i/>
          <w:sz w:val="22"/>
          <w:szCs w:val="22"/>
        </w:rPr>
        <w:t>Pespectives</w:t>
      </w:r>
      <w:proofErr w:type="spellEnd"/>
      <w:r w:rsidR="00102C35" w:rsidRPr="000929E5">
        <w:rPr>
          <w:i/>
          <w:sz w:val="22"/>
          <w:szCs w:val="22"/>
        </w:rPr>
        <w:t xml:space="preserve"> d’un droit privé de l’environnement – A la recherche du statut juridique du « </w:t>
      </w:r>
      <w:proofErr w:type="spellStart"/>
      <w:r w:rsidR="00102C35" w:rsidRPr="000929E5">
        <w:rPr>
          <w:i/>
          <w:sz w:val="22"/>
          <w:szCs w:val="22"/>
        </w:rPr>
        <w:t>bioacteur</w:t>
      </w:r>
      <w:proofErr w:type="spellEnd"/>
      <w:r w:rsidR="00102C35" w:rsidRPr="000929E5">
        <w:rPr>
          <w:i/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 ?, Actes du colloque des 11 et 12 septembre 2008 (Faculté de droit de Montpellier, Centre de droit de la Consommation et du Marché), </w:t>
      </w:r>
      <w:r w:rsidR="00102C35" w:rsidRPr="000929E5">
        <w:rPr>
          <w:i/>
          <w:sz w:val="22"/>
          <w:szCs w:val="22"/>
        </w:rPr>
        <w:t>Bull. du droit de l’environnement industriel</w:t>
      </w:r>
      <w:r w:rsidR="00102C35" w:rsidRPr="000929E5">
        <w:rPr>
          <w:sz w:val="22"/>
          <w:szCs w:val="22"/>
        </w:rPr>
        <w:t>, Février 2009, suppl. au n° 19, pp. 61-70.</w:t>
      </w:r>
    </w:p>
    <w:p w14:paraId="3D3F25DC" w14:textId="77777777" w:rsidR="00102C35" w:rsidRPr="000929E5" w:rsidRDefault="00102C35" w:rsidP="00102C35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3A9C3354" w14:textId="35A38D08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L’incertaine détermination des différences de traitement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F. Sudre et H. </w:t>
      </w:r>
      <w:proofErr w:type="spellStart"/>
      <w:r w:rsidR="00102C35" w:rsidRPr="000929E5">
        <w:rPr>
          <w:sz w:val="22"/>
          <w:szCs w:val="22"/>
        </w:rPr>
        <w:t>Surrel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Le droit à la non-discrimination au sens de la Convention européenne des droits de l’homme</w:t>
      </w:r>
      <w:r w:rsidR="00102C35" w:rsidRPr="000929E5">
        <w:rPr>
          <w:sz w:val="22"/>
          <w:szCs w:val="22"/>
        </w:rPr>
        <w:t>, Actes du Colloque des 9 et 10 novembre 2007 (Faculté de droit de Montpellier, Institut de droit européen des droits de l’homme), Bruylant, Bruxelles, coll. « Droit et justice », 2008, pp. 87-118</w:t>
      </w:r>
      <w:r w:rsidR="00102C35" w:rsidRPr="000929E5">
        <w:rPr>
          <w:b/>
          <w:sz w:val="22"/>
          <w:szCs w:val="22"/>
        </w:rPr>
        <w:t>.</w:t>
      </w:r>
    </w:p>
    <w:p w14:paraId="1569DF28" w14:textId="77777777" w:rsidR="00102C35" w:rsidRPr="000929E5" w:rsidRDefault="00102C35" w:rsidP="00102C35">
      <w:pPr>
        <w:spacing w:line="276" w:lineRule="auto"/>
        <w:ind w:left="283"/>
        <w:jc w:val="both"/>
        <w:rPr>
          <w:b/>
          <w:sz w:val="22"/>
          <w:szCs w:val="22"/>
        </w:rPr>
      </w:pPr>
    </w:p>
    <w:p w14:paraId="19A2B981" w14:textId="3E182610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Droits et obligations de caractère civil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J. </w:t>
      </w:r>
      <w:proofErr w:type="spellStart"/>
      <w:r w:rsidR="00102C35" w:rsidRPr="000929E5">
        <w:rPr>
          <w:sz w:val="22"/>
          <w:szCs w:val="22"/>
        </w:rPr>
        <w:t>Andriantzimbazovina</w:t>
      </w:r>
      <w:proofErr w:type="spellEnd"/>
      <w:r w:rsidR="00102C35" w:rsidRPr="000929E5">
        <w:rPr>
          <w:sz w:val="22"/>
          <w:szCs w:val="22"/>
        </w:rPr>
        <w:t xml:space="preserve">, H. Gaudin, J.-P. </w:t>
      </w:r>
      <w:proofErr w:type="spellStart"/>
      <w:r w:rsidR="00102C35" w:rsidRPr="000929E5">
        <w:rPr>
          <w:sz w:val="22"/>
          <w:szCs w:val="22"/>
        </w:rPr>
        <w:t>Marguénaud</w:t>
      </w:r>
      <w:proofErr w:type="spellEnd"/>
      <w:r w:rsidR="00102C35" w:rsidRPr="000929E5">
        <w:rPr>
          <w:sz w:val="22"/>
          <w:szCs w:val="22"/>
        </w:rPr>
        <w:t>, S. Rials, F. Sudre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Dictionnaire des droits de l’homme</w:t>
      </w:r>
      <w:r w:rsidR="00102C35" w:rsidRPr="000929E5">
        <w:rPr>
          <w:sz w:val="22"/>
          <w:szCs w:val="22"/>
        </w:rPr>
        <w:t xml:space="preserve">, PUF, </w:t>
      </w:r>
      <w:r w:rsidR="00092762">
        <w:rPr>
          <w:sz w:val="22"/>
          <w:szCs w:val="22"/>
        </w:rPr>
        <w:t xml:space="preserve">Paris, </w:t>
      </w:r>
      <w:r w:rsidR="00102C35" w:rsidRPr="000929E5">
        <w:rPr>
          <w:sz w:val="22"/>
          <w:szCs w:val="22"/>
        </w:rPr>
        <w:t>coll. « Quadrige », 2008, pp. 330-332 et dans le même ouvrage, « Ordre public européen », pp. 719-722.</w:t>
      </w:r>
    </w:p>
    <w:p w14:paraId="12B357A4" w14:textId="77777777" w:rsidR="00102C35" w:rsidRPr="000929E5" w:rsidRDefault="00102C35" w:rsidP="00102C35">
      <w:pPr>
        <w:spacing w:line="276" w:lineRule="auto"/>
        <w:ind w:left="284"/>
        <w:jc w:val="both"/>
        <w:rPr>
          <w:sz w:val="22"/>
          <w:szCs w:val="22"/>
        </w:rPr>
      </w:pPr>
    </w:p>
    <w:p w14:paraId="0535F6E3" w14:textId="42BA8872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Vers un droit communautaire des étrangers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iCs/>
          <w:sz w:val="22"/>
          <w:szCs w:val="22"/>
        </w:rPr>
        <w:t>Les standards du droit communautaire des étrangers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>, n° 12, Montpellier, 2008, pp. 7-40.</w:t>
      </w:r>
    </w:p>
    <w:p w14:paraId="024D20CF" w14:textId="77777777" w:rsidR="00102C35" w:rsidRPr="000929E5" w:rsidRDefault="00102C35" w:rsidP="00102C35">
      <w:pPr>
        <w:spacing w:line="276" w:lineRule="auto"/>
        <w:jc w:val="both"/>
        <w:rPr>
          <w:sz w:val="22"/>
          <w:szCs w:val="22"/>
        </w:rPr>
      </w:pPr>
    </w:p>
    <w:p w14:paraId="63F05D78" w14:textId="31898AC3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Le contrôle de l’admission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iCs/>
          <w:sz w:val="22"/>
          <w:szCs w:val="22"/>
        </w:rPr>
        <w:t>Les standards du droit communautaire des étrangers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>, n° 12, 2008, Montpellier, pp. 151-210.</w:t>
      </w:r>
    </w:p>
    <w:p w14:paraId="173EAE3F" w14:textId="77777777" w:rsidR="00102C35" w:rsidRPr="000929E5" w:rsidRDefault="00102C35" w:rsidP="00102C35">
      <w:pPr>
        <w:spacing w:line="276" w:lineRule="auto"/>
        <w:jc w:val="both"/>
        <w:rPr>
          <w:sz w:val="22"/>
          <w:szCs w:val="22"/>
        </w:rPr>
      </w:pPr>
    </w:p>
    <w:p w14:paraId="5AAF75B6" w14:textId="09154DE5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L’ambivalence de l’intégration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 (en coll. avec R. </w:t>
      </w:r>
      <w:proofErr w:type="spellStart"/>
      <w:r w:rsidR="00102C35" w:rsidRPr="000929E5">
        <w:rPr>
          <w:sz w:val="22"/>
          <w:szCs w:val="22"/>
        </w:rPr>
        <w:t>Tinière</w:t>
      </w:r>
      <w:proofErr w:type="spellEnd"/>
      <w:r w:rsidR="00102C35" w:rsidRPr="000929E5">
        <w:rPr>
          <w:sz w:val="22"/>
          <w:szCs w:val="22"/>
        </w:rPr>
        <w:t xml:space="preserve">), in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iCs/>
          <w:sz w:val="22"/>
          <w:szCs w:val="22"/>
        </w:rPr>
        <w:t>Les standards du droit communautaire des étrangers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>, n° 12, 2008, Montpellier, pp. 211-268.</w:t>
      </w:r>
    </w:p>
    <w:p w14:paraId="1843A441" w14:textId="77777777" w:rsidR="00102C35" w:rsidRPr="000929E5" w:rsidRDefault="00102C35" w:rsidP="00102C35">
      <w:pPr>
        <w:spacing w:line="276" w:lineRule="auto"/>
        <w:jc w:val="both"/>
        <w:rPr>
          <w:sz w:val="22"/>
          <w:szCs w:val="22"/>
        </w:rPr>
      </w:pPr>
    </w:p>
    <w:p w14:paraId="760122FC" w14:textId="792448D3" w:rsidR="00102C35" w:rsidRPr="000929E5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929E5">
        <w:rPr>
          <w:sz w:val="22"/>
          <w:szCs w:val="22"/>
        </w:rPr>
        <w:t xml:space="preserve"> </w:t>
      </w:r>
      <w:r w:rsidR="00AB6AAA">
        <w:rPr>
          <w:sz w:val="22"/>
          <w:szCs w:val="22"/>
        </w:rPr>
        <w:t>« </w:t>
      </w:r>
      <w:r w:rsidRPr="000929E5">
        <w:rPr>
          <w:iCs/>
          <w:sz w:val="22"/>
          <w:szCs w:val="22"/>
        </w:rPr>
        <w:t>Un parcours difficile : l’acquisition du statut de bénéficiaire de la protection internationale</w:t>
      </w:r>
      <w:r w:rsidR="00AB6AAA">
        <w:rPr>
          <w:iCs/>
          <w:sz w:val="22"/>
          <w:szCs w:val="22"/>
        </w:rPr>
        <w:t> »</w:t>
      </w:r>
      <w:r w:rsidRPr="000929E5">
        <w:rPr>
          <w:iCs/>
          <w:sz w:val="22"/>
          <w:szCs w:val="22"/>
        </w:rPr>
        <w:t xml:space="preserve"> (en coll. avec </w:t>
      </w:r>
      <w:r w:rsidRPr="000929E5">
        <w:rPr>
          <w:sz w:val="22"/>
          <w:szCs w:val="22"/>
        </w:rPr>
        <w:t xml:space="preserve">A. </w:t>
      </w:r>
      <w:proofErr w:type="spellStart"/>
      <w:r w:rsidRPr="000929E5">
        <w:rPr>
          <w:sz w:val="22"/>
          <w:szCs w:val="22"/>
        </w:rPr>
        <w:t>Beduschi</w:t>
      </w:r>
      <w:proofErr w:type="spellEnd"/>
      <w:r w:rsidRPr="000929E5">
        <w:rPr>
          <w:sz w:val="22"/>
          <w:szCs w:val="22"/>
        </w:rPr>
        <w:t xml:space="preserve">-Ortiz), in C. </w:t>
      </w:r>
      <w:proofErr w:type="spellStart"/>
      <w:r w:rsidRPr="000929E5">
        <w:rPr>
          <w:sz w:val="22"/>
          <w:szCs w:val="22"/>
        </w:rPr>
        <w:t>Picheral</w:t>
      </w:r>
      <w:proofErr w:type="spellEnd"/>
      <w:r w:rsidRPr="000929E5">
        <w:rPr>
          <w:sz w:val="22"/>
          <w:szCs w:val="22"/>
        </w:rPr>
        <w:t xml:space="preserve"> (</w:t>
      </w:r>
      <w:proofErr w:type="spellStart"/>
      <w:r w:rsidRPr="000929E5">
        <w:rPr>
          <w:sz w:val="22"/>
          <w:szCs w:val="22"/>
        </w:rPr>
        <w:t>Dir</w:t>
      </w:r>
      <w:proofErr w:type="spellEnd"/>
      <w:r w:rsidRPr="000929E5">
        <w:rPr>
          <w:sz w:val="22"/>
          <w:szCs w:val="22"/>
        </w:rPr>
        <w:t xml:space="preserve">.), </w:t>
      </w:r>
      <w:r w:rsidRPr="000929E5">
        <w:rPr>
          <w:i/>
          <w:sz w:val="22"/>
          <w:szCs w:val="22"/>
        </w:rPr>
        <w:t>Les standards du droit communautaire des étrangers,</w:t>
      </w:r>
      <w:r w:rsidRPr="000929E5">
        <w:rPr>
          <w:sz w:val="22"/>
          <w:szCs w:val="22"/>
        </w:rPr>
        <w:t xml:space="preserve"> </w:t>
      </w:r>
      <w:r w:rsidRPr="000929E5">
        <w:rPr>
          <w:i/>
          <w:sz w:val="22"/>
          <w:szCs w:val="22"/>
        </w:rPr>
        <w:t>Cahiers de l’IDEDH</w:t>
      </w:r>
      <w:r w:rsidRPr="000929E5">
        <w:rPr>
          <w:sz w:val="22"/>
          <w:szCs w:val="22"/>
        </w:rPr>
        <w:t>, n° 12, 2008, Montpellier, pp. 64-97.</w:t>
      </w:r>
    </w:p>
    <w:p w14:paraId="035B272D" w14:textId="77777777" w:rsidR="00102C35" w:rsidRPr="000929E5" w:rsidRDefault="00102C35" w:rsidP="00102C35">
      <w:pPr>
        <w:pStyle w:val="Paragraphedeliste"/>
        <w:spacing w:line="276" w:lineRule="auto"/>
        <w:ind w:left="0"/>
        <w:rPr>
          <w:b/>
          <w:sz w:val="22"/>
          <w:szCs w:val="22"/>
        </w:rPr>
      </w:pPr>
    </w:p>
    <w:p w14:paraId="5AFA8CA3" w14:textId="3CB32CF7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L’ordre public écologique en droit communautaire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M. </w:t>
      </w:r>
      <w:proofErr w:type="spellStart"/>
      <w:r w:rsidR="00102C35" w:rsidRPr="000929E5">
        <w:rPr>
          <w:sz w:val="22"/>
          <w:szCs w:val="22"/>
        </w:rPr>
        <w:t>Boutelet</w:t>
      </w:r>
      <w:proofErr w:type="spellEnd"/>
      <w:r w:rsidR="00102C35" w:rsidRPr="000929E5">
        <w:rPr>
          <w:sz w:val="22"/>
          <w:szCs w:val="22"/>
        </w:rPr>
        <w:t>, J.-C. Fritz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L’ordre public écologique</w:t>
      </w:r>
      <w:r w:rsidR="00102C35" w:rsidRPr="000929E5">
        <w:rPr>
          <w:sz w:val="22"/>
          <w:szCs w:val="22"/>
        </w:rPr>
        <w:t xml:space="preserve"> (Actes du colloque des 6 et 7 février 2003, Université de Dijon), Bruylant, </w:t>
      </w:r>
      <w:r w:rsidR="00092762">
        <w:rPr>
          <w:sz w:val="22"/>
          <w:szCs w:val="22"/>
        </w:rPr>
        <w:t xml:space="preserve">Bruxelles, </w:t>
      </w:r>
      <w:r w:rsidR="00102C35" w:rsidRPr="000929E5">
        <w:rPr>
          <w:sz w:val="22"/>
          <w:szCs w:val="22"/>
        </w:rPr>
        <w:t>2005, pp. 107-129.</w:t>
      </w:r>
    </w:p>
    <w:p w14:paraId="58F23842" w14:textId="77777777" w:rsidR="00102C35" w:rsidRPr="000929E5" w:rsidRDefault="00102C35" w:rsidP="00102C35">
      <w:pPr>
        <w:pStyle w:val="Paragraphedeliste"/>
        <w:spacing w:line="276" w:lineRule="auto"/>
        <w:ind w:left="0"/>
        <w:rPr>
          <w:b/>
          <w:sz w:val="22"/>
          <w:szCs w:val="22"/>
        </w:rPr>
      </w:pPr>
    </w:p>
    <w:p w14:paraId="5F651D28" w14:textId="38C84015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Espace de liberté, de sécurité et de justice et champ d’application du droit communautaire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</w:t>
      </w:r>
      <w:r w:rsidR="00102C35" w:rsidRPr="000929E5">
        <w:rPr>
          <w:i/>
          <w:sz w:val="22"/>
          <w:szCs w:val="22"/>
        </w:rPr>
        <w:t xml:space="preserve">De nouvelles frontières pour le droit communautaire ? La question du champ d’application </w:t>
      </w:r>
      <w:r w:rsidR="00102C35" w:rsidRPr="000929E5">
        <w:rPr>
          <w:sz w:val="22"/>
          <w:szCs w:val="22"/>
        </w:rPr>
        <w:t xml:space="preserve">(Journée nationale d’Etudes CEDECE, La Rochelle, 25 avril 2003), </w:t>
      </w:r>
      <w:r w:rsidR="00102C35" w:rsidRPr="000929E5">
        <w:rPr>
          <w:i/>
          <w:sz w:val="22"/>
          <w:szCs w:val="22"/>
        </w:rPr>
        <w:t>Revue des Affaires Européennes</w:t>
      </w:r>
      <w:r w:rsidR="00102C35" w:rsidRPr="000929E5">
        <w:rPr>
          <w:sz w:val="22"/>
          <w:szCs w:val="22"/>
        </w:rPr>
        <w:t>, 2003-2004/1, pp. 95-108.</w:t>
      </w:r>
    </w:p>
    <w:p w14:paraId="451C77EC" w14:textId="77777777" w:rsidR="00102C35" w:rsidRPr="000929E5" w:rsidRDefault="00102C35" w:rsidP="00102C35">
      <w:pPr>
        <w:pStyle w:val="Paragraphedeliste"/>
        <w:spacing w:line="276" w:lineRule="auto"/>
        <w:rPr>
          <w:sz w:val="22"/>
          <w:szCs w:val="22"/>
        </w:rPr>
      </w:pPr>
    </w:p>
    <w:p w14:paraId="70318441" w14:textId="11DBC761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« </w:t>
      </w:r>
      <w:r w:rsidR="00102C35" w:rsidRPr="000929E5">
        <w:rPr>
          <w:sz w:val="22"/>
          <w:szCs w:val="22"/>
        </w:rPr>
        <w:t>Le domaine accessoire de la judiciarisation des procédures : les sanctions pénitentiaires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F. Sudre,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diffusion du modèle européen du procès équitable</w:t>
      </w:r>
      <w:r w:rsidR="00102C35" w:rsidRPr="000929E5">
        <w:rPr>
          <w:sz w:val="22"/>
          <w:szCs w:val="22"/>
        </w:rPr>
        <w:t xml:space="preserve">, La Doc. Fr., </w:t>
      </w:r>
      <w:r w:rsidR="00092762">
        <w:rPr>
          <w:sz w:val="22"/>
          <w:szCs w:val="22"/>
        </w:rPr>
        <w:t xml:space="preserve">Paris, </w:t>
      </w:r>
      <w:r w:rsidR="00102C35" w:rsidRPr="000929E5">
        <w:rPr>
          <w:sz w:val="22"/>
          <w:szCs w:val="22"/>
        </w:rPr>
        <w:t xml:space="preserve">2003, </w:t>
      </w:r>
      <w:proofErr w:type="spellStart"/>
      <w:r w:rsidR="00102C35" w:rsidRPr="000929E5">
        <w:rPr>
          <w:sz w:val="22"/>
          <w:szCs w:val="22"/>
        </w:rPr>
        <w:t>spéc</w:t>
      </w:r>
      <w:proofErr w:type="spellEnd"/>
      <w:r w:rsidR="00102C35" w:rsidRPr="000929E5">
        <w:rPr>
          <w:sz w:val="22"/>
          <w:szCs w:val="22"/>
        </w:rPr>
        <w:t>. pp. 114-133</w:t>
      </w:r>
    </w:p>
    <w:p w14:paraId="36ABA48E" w14:textId="77777777" w:rsidR="00102C35" w:rsidRPr="000929E5" w:rsidRDefault="00102C35" w:rsidP="00102C35">
      <w:pPr>
        <w:pStyle w:val="Paragraphedeliste"/>
        <w:spacing w:line="276" w:lineRule="auto"/>
        <w:rPr>
          <w:sz w:val="22"/>
          <w:szCs w:val="22"/>
        </w:rPr>
      </w:pPr>
    </w:p>
    <w:p w14:paraId="71D4A7A3" w14:textId="539CCA06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L’incidence sur le patrimoine, un facteur relativement opératoire d’applicabilité de l’article 6 CEDH au contentieux social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F. Sudre,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diffusion du modèle européen du procès équitable</w:t>
      </w:r>
      <w:r w:rsidR="00102C35" w:rsidRPr="000929E5">
        <w:rPr>
          <w:sz w:val="22"/>
          <w:szCs w:val="22"/>
        </w:rPr>
        <w:t xml:space="preserve">, La Doc. Fr., 2003, </w:t>
      </w:r>
      <w:proofErr w:type="spellStart"/>
      <w:r w:rsidR="00102C35" w:rsidRPr="000929E5">
        <w:rPr>
          <w:sz w:val="22"/>
          <w:szCs w:val="22"/>
        </w:rPr>
        <w:t>spéc</w:t>
      </w:r>
      <w:proofErr w:type="spellEnd"/>
      <w:r w:rsidR="00102C35" w:rsidRPr="000929E5">
        <w:rPr>
          <w:sz w:val="22"/>
          <w:szCs w:val="22"/>
        </w:rPr>
        <w:t>. pp. 164-180.</w:t>
      </w:r>
    </w:p>
    <w:p w14:paraId="06300012" w14:textId="77777777" w:rsidR="00102C35" w:rsidRPr="000929E5" w:rsidRDefault="00102C35" w:rsidP="00102C35">
      <w:pPr>
        <w:pStyle w:val="Paragraphedeliste"/>
        <w:spacing w:line="276" w:lineRule="auto"/>
        <w:rPr>
          <w:sz w:val="22"/>
          <w:szCs w:val="22"/>
        </w:rPr>
      </w:pPr>
    </w:p>
    <w:p w14:paraId="7A7F5CB8" w14:textId="23F68A6A" w:rsidR="00102C35" w:rsidRPr="000929E5" w:rsidRDefault="00AB6AAA" w:rsidP="00102C35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La publicité des audiences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in F. Sudre,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diffusion du modèle européen du procès équitable</w:t>
      </w:r>
      <w:r w:rsidR="00102C35" w:rsidRPr="000929E5">
        <w:rPr>
          <w:sz w:val="22"/>
          <w:szCs w:val="22"/>
        </w:rPr>
        <w:t xml:space="preserve">, La Doc. Fr., 2003, </w:t>
      </w:r>
      <w:proofErr w:type="spellStart"/>
      <w:r w:rsidR="00102C35" w:rsidRPr="000929E5">
        <w:rPr>
          <w:sz w:val="22"/>
          <w:szCs w:val="22"/>
        </w:rPr>
        <w:t>spéc</w:t>
      </w:r>
      <w:proofErr w:type="spellEnd"/>
      <w:r w:rsidR="00102C35" w:rsidRPr="000929E5">
        <w:rPr>
          <w:sz w:val="22"/>
          <w:szCs w:val="22"/>
        </w:rPr>
        <w:t>. pp. 253-270.</w:t>
      </w:r>
    </w:p>
    <w:p w14:paraId="0315092A" w14:textId="77777777" w:rsidR="00102C35" w:rsidRPr="000929E5" w:rsidRDefault="00102C35" w:rsidP="00102C35">
      <w:pPr>
        <w:pStyle w:val="Paragraphedeliste"/>
        <w:spacing w:line="276" w:lineRule="auto"/>
        <w:rPr>
          <w:b/>
          <w:sz w:val="22"/>
          <w:szCs w:val="22"/>
        </w:rPr>
      </w:pPr>
    </w:p>
    <w:p w14:paraId="590D4FB9" w14:textId="6975D359" w:rsidR="00102C35" w:rsidRPr="000929E5" w:rsidRDefault="00AB6AAA" w:rsidP="00102C35">
      <w:pPr>
        <w:numPr>
          <w:ilvl w:val="0"/>
          <w:numId w:val="1"/>
        </w:numPr>
        <w:spacing w:after="16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Un critère organique secondaire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 (en coll. avec F. Sudre), in F. Sudre,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diffusion du modèle européen du procès équitable</w:t>
      </w:r>
      <w:r w:rsidR="00102C35" w:rsidRPr="000929E5">
        <w:rPr>
          <w:sz w:val="22"/>
          <w:szCs w:val="22"/>
        </w:rPr>
        <w:t>, La Doc. Fr., 2003, pp. 46-66.</w:t>
      </w:r>
    </w:p>
    <w:p w14:paraId="6EB84047" w14:textId="499E6CAE" w:rsidR="00102C35" w:rsidRPr="000929E5" w:rsidRDefault="00AB6AAA" w:rsidP="00102C35">
      <w:pPr>
        <w:numPr>
          <w:ilvl w:val="0"/>
          <w:numId w:val="1"/>
        </w:numPr>
        <w:spacing w:after="16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L’assimilation à un tribunal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 (en coll. avec C. </w:t>
      </w:r>
      <w:proofErr w:type="spellStart"/>
      <w:r w:rsidR="00102C35" w:rsidRPr="000929E5">
        <w:rPr>
          <w:sz w:val="22"/>
          <w:szCs w:val="22"/>
        </w:rPr>
        <w:t>Mamontoff</w:t>
      </w:r>
      <w:proofErr w:type="spellEnd"/>
      <w:r w:rsidR="00102C35" w:rsidRPr="000929E5">
        <w:rPr>
          <w:sz w:val="22"/>
          <w:szCs w:val="22"/>
        </w:rPr>
        <w:t xml:space="preserve">), in F. Sudre, C. </w:t>
      </w:r>
      <w:proofErr w:type="spellStart"/>
      <w:r w:rsidR="00102C35" w:rsidRPr="000929E5">
        <w:rPr>
          <w:sz w:val="22"/>
          <w:szCs w:val="22"/>
        </w:rPr>
        <w:t>Picheral</w:t>
      </w:r>
      <w:proofErr w:type="spellEnd"/>
      <w:r w:rsidR="00102C35" w:rsidRPr="000929E5">
        <w:rPr>
          <w:sz w:val="22"/>
          <w:szCs w:val="22"/>
        </w:rPr>
        <w:t xml:space="preserve"> (</w:t>
      </w:r>
      <w:proofErr w:type="spellStart"/>
      <w:r w:rsidR="00102C35" w:rsidRPr="000929E5">
        <w:rPr>
          <w:sz w:val="22"/>
          <w:szCs w:val="22"/>
        </w:rPr>
        <w:t>Dir</w:t>
      </w:r>
      <w:proofErr w:type="spellEnd"/>
      <w:r w:rsidR="00102C35" w:rsidRPr="000929E5">
        <w:rPr>
          <w:sz w:val="22"/>
          <w:szCs w:val="22"/>
        </w:rPr>
        <w:t xml:space="preserve">.), </w:t>
      </w:r>
      <w:r w:rsidR="00102C35" w:rsidRPr="000929E5">
        <w:rPr>
          <w:i/>
          <w:sz w:val="22"/>
          <w:szCs w:val="22"/>
        </w:rPr>
        <w:t>La diffusion du modèle européen du procès équitable</w:t>
      </w:r>
      <w:r w:rsidR="00102C35" w:rsidRPr="000929E5">
        <w:rPr>
          <w:sz w:val="22"/>
          <w:szCs w:val="22"/>
        </w:rPr>
        <w:t>, La Doc. Fr., 2003, pp. 242-253.</w:t>
      </w:r>
    </w:p>
    <w:p w14:paraId="2D86CCFE" w14:textId="75BCFC39" w:rsidR="00102C35" w:rsidRPr="000929E5" w:rsidRDefault="00AB6AAA" w:rsidP="00102C35">
      <w:pPr>
        <w:numPr>
          <w:ilvl w:val="0"/>
          <w:numId w:val="1"/>
        </w:numPr>
        <w:spacing w:after="16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0929E5">
        <w:rPr>
          <w:sz w:val="22"/>
          <w:szCs w:val="22"/>
        </w:rPr>
        <w:t>Les réserves à la compétence de la CJCE dans le domaine de l’Espace de liberté, de sécurité et de justice</w:t>
      </w:r>
      <w:r>
        <w:rPr>
          <w:sz w:val="22"/>
          <w:szCs w:val="22"/>
        </w:rPr>
        <w:t> »</w:t>
      </w:r>
      <w:r w:rsidR="00102C35" w:rsidRPr="000929E5">
        <w:rPr>
          <w:sz w:val="22"/>
          <w:szCs w:val="22"/>
        </w:rPr>
        <w:t xml:space="preserve">, </w:t>
      </w:r>
      <w:r w:rsidR="00102C35" w:rsidRPr="000929E5">
        <w:rPr>
          <w:i/>
          <w:sz w:val="22"/>
          <w:szCs w:val="22"/>
        </w:rPr>
        <w:t>Cahiers de l’IDEDH</w:t>
      </w:r>
      <w:r w:rsidR="00102C35" w:rsidRPr="000929E5">
        <w:rPr>
          <w:sz w:val="22"/>
          <w:szCs w:val="22"/>
        </w:rPr>
        <w:t xml:space="preserve">, n° 9, 2003, Montpellier, pp. 314-343. </w:t>
      </w:r>
    </w:p>
    <w:p w14:paraId="5466BFFD" w14:textId="09092400" w:rsidR="0052771E" w:rsidRPr="002A7025" w:rsidRDefault="0052771E" w:rsidP="0052771E">
      <w:pPr>
        <w:spacing w:line="276" w:lineRule="auto"/>
        <w:jc w:val="both"/>
        <w:rPr>
          <w:b/>
          <w:smallCaps/>
          <w:sz w:val="20"/>
        </w:rPr>
      </w:pPr>
      <w:r w:rsidRPr="002A7025">
        <w:rPr>
          <w:b/>
          <w:smallCaps/>
          <w:sz w:val="20"/>
        </w:rPr>
        <w:t>B – Articles</w:t>
      </w:r>
    </w:p>
    <w:p w14:paraId="40439BE7" w14:textId="3EB6C048" w:rsidR="0052771E" w:rsidRDefault="0052771E" w:rsidP="0052771E">
      <w:pPr>
        <w:spacing w:line="276" w:lineRule="auto"/>
        <w:jc w:val="both"/>
      </w:pPr>
    </w:p>
    <w:p w14:paraId="603A8828" w14:textId="286BC21B" w:rsidR="0052771E" w:rsidRDefault="0052771E" w:rsidP="0052771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« </w:t>
      </w:r>
      <w:r w:rsidRPr="002B7092">
        <w:rPr>
          <w:sz w:val="22"/>
          <w:szCs w:val="22"/>
        </w:rPr>
        <w:t>La Charte</w:t>
      </w:r>
      <w:r>
        <w:rPr>
          <w:sz w:val="22"/>
          <w:szCs w:val="22"/>
        </w:rPr>
        <w:t xml:space="preserve"> des droits fondamentaux de l’Union saisie par la Cour européenne des droits de l’homme », </w:t>
      </w:r>
      <w:proofErr w:type="spellStart"/>
      <w:r w:rsidRPr="002B7092">
        <w:rPr>
          <w:i/>
          <w:iCs/>
          <w:sz w:val="22"/>
          <w:szCs w:val="22"/>
        </w:rPr>
        <w:t>Rev</w:t>
      </w:r>
      <w:proofErr w:type="spellEnd"/>
      <w:r w:rsidRPr="002B7092">
        <w:rPr>
          <w:i/>
          <w:iCs/>
          <w:sz w:val="22"/>
          <w:szCs w:val="22"/>
        </w:rPr>
        <w:t>. de l’Union européenne</w:t>
      </w:r>
      <w:r>
        <w:rPr>
          <w:sz w:val="22"/>
          <w:szCs w:val="22"/>
        </w:rPr>
        <w:t>, n° 642, 2020, pp. 576-583</w:t>
      </w:r>
    </w:p>
    <w:p w14:paraId="7EB20234" w14:textId="77777777" w:rsidR="0052771E" w:rsidRPr="00D62470" w:rsidRDefault="0052771E" w:rsidP="0052771E">
      <w:pPr>
        <w:spacing w:line="276" w:lineRule="auto"/>
        <w:jc w:val="both"/>
        <w:rPr>
          <w:sz w:val="22"/>
          <w:szCs w:val="22"/>
        </w:rPr>
      </w:pPr>
    </w:p>
    <w:p w14:paraId="0E0B83BF" w14:textId="621A328E" w:rsidR="0052771E" w:rsidRDefault="0052771E" w:rsidP="0052771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 Des réponses potentielles de la Cour européenne des droits de l’homme à l’avis 2/13 », </w:t>
      </w:r>
      <w:proofErr w:type="spellStart"/>
      <w:r w:rsidRPr="00396D44">
        <w:rPr>
          <w:i/>
          <w:sz w:val="22"/>
          <w:szCs w:val="22"/>
        </w:rPr>
        <w:t>Rev</w:t>
      </w:r>
      <w:proofErr w:type="spellEnd"/>
      <w:r w:rsidRPr="00396D44">
        <w:rPr>
          <w:i/>
          <w:sz w:val="22"/>
          <w:szCs w:val="22"/>
        </w:rPr>
        <w:t>. de l’Union européenne,</w:t>
      </w:r>
      <w:r>
        <w:rPr>
          <w:sz w:val="22"/>
          <w:szCs w:val="22"/>
        </w:rPr>
        <w:t xml:space="preserve"> 2016, n° 600, pp. 426-435</w:t>
      </w:r>
    </w:p>
    <w:p w14:paraId="3545CADA" w14:textId="77777777" w:rsidR="0052771E" w:rsidRDefault="0052771E" w:rsidP="0052771E">
      <w:pPr>
        <w:pStyle w:val="Paragraphedeliste"/>
        <w:rPr>
          <w:sz w:val="22"/>
          <w:szCs w:val="22"/>
        </w:rPr>
      </w:pPr>
    </w:p>
    <w:p w14:paraId="22125B50" w14:textId="57872FF4" w:rsidR="0052771E" w:rsidRDefault="0052771E" w:rsidP="0052771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Concurrence et parasitisme des standards de protection », (dossier Questions choisies à la lumière de l’avis 2/13), </w:t>
      </w:r>
      <w:r w:rsidR="00AB6AAA" w:rsidRPr="000929E5">
        <w:rPr>
          <w:i/>
          <w:sz w:val="22"/>
          <w:szCs w:val="22"/>
        </w:rPr>
        <w:t>Revue des Affaires européennes</w:t>
      </w:r>
      <w:r w:rsidR="00AB6AAA" w:rsidRPr="000929E5">
        <w:rPr>
          <w:sz w:val="22"/>
          <w:szCs w:val="22"/>
        </w:rPr>
        <w:t xml:space="preserve">, </w:t>
      </w:r>
      <w:r>
        <w:rPr>
          <w:sz w:val="22"/>
          <w:szCs w:val="22"/>
        </w:rPr>
        <w:t>2015/1, pp. 81-92</w:t>
      </w:r>
    </w:p>
    <w:p w14:paraId="643206F4" w14:textId="77777777" w:rsidR="0082137F" w:rsidRDefault="0082137F" w:rsidP="0082137F">
      <w:pPr>
        <w:pStyle w:val="Paragraphedeliste"/>
        <w:rPr>
          <w:sz w:val="22"/>
          <w:szCs w:val="22"/>
        </w:rPr>
      </w:pPr>
    </w:p>
    <w:p w14:paraId="6E41AC42" w14:textId="252F046F" w:rsidR="0082137F" w:rsidRPr="000929E5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La réforme sous tension de la gouvernance Schengen ou la libre circulation à l’épreuve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proofErr w:type="spellStart"/>
      <w:r w:rsidRPr="000929E5">
        <w:rPr>
          <w:i/>
          <w:sz w:val="22"/>
          <w:szCs w:val="22"/>
        </w:rPr>
        <w:t>Rev</w:t>
      </w:r>
      <w:proofErr w:type="spellEnd"/>
      <w:r w:rsidRPr="000929E5">
        <w:rPr>
          <w:i/>
          <w:sz w:val="22"/>
          <w:szCs w:val="22"/>
        </w:rPr>
        <w:t>. de l’Union européenne</w:t>
      </w:r>
      <w:r w:rsidR="00AB6AAA">
        <w:rPr>
          <w:i/>
          <w:sz w:val="22"/>
          <w:szCs w:val="22"/>
        </w:rPr>
        <w:t>,</w:t>
      </w:r>
      <w:r w:rsidRPr="000929E5">
        <w:rPr>
          <w:sz w:val="22"/>
          <w:szCs w:val="22"/>
        </w:rPr>
        <w:t xml:space="preserve"> 2013, n° 565, pp. 95-101</w:t>
      </w:r>
    </w:p>
    <w:p w14:paraId="687A5636" w14:textId="77777777" w:rsidR="0082137F" w:rsidRPr="000929E5" w:rsidRDefault="0082137F" w:rsidP="0082137F">
      <w:pPr>
        <w:spacing w:line="276" w:lineRule="auto"/>
        <w:jc w:val="both"/>
        <w:rPr>
          <w:b/>
          <w:sz w:val="22"/>
          <w:szCs w:val="22"/>
        </w:rPr>
      </w:pPr>
    </w:p>
    <w:p w14:paraId="384A47BC" w14:textId="77777777" w:rsidR="0082137F" w:rsidRPr="000929E5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Le droit d’asile en Europe : une garantie relative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r w:rsidRPr="000929E5">
        <w:rPr>
          <w:i/>
          <w:sz w:val="22"/>
          <w:szCs w:val="22"/>
        </w:rPr>
        <w:t>Annuaire français de relations internationales</w:t>
      </w:r>
      <w:r w:rsidRPr="000929E5">
        <w:rPr>
          <w:sz w:val="22"/>
          <w:szCs w:val="22"/>
        </w:rPr>
        <w:t>, vol. XIII, 2012, pp. 589-605.</w:t>
      </w:r>
    </w:p>
    <w:p w14:paraId="14AEC347" w14:textId="77777777" w:rsidR="0082137F" w:rsidRPr="000929E5" w:rsidRDefault="0082137F" w:rsidP="0082137F">
      <w:pPr>
        <w:spacing w:line="276" w:lineRule="auto"/>
        <w:ind w:left="283"/>
        <w:jc w:val="both"/>
        <w:rPr>
          <w:sz w:val="22"/>
          <w:szCs w:val="22"/>
        </w:rPr>
      </w:pPr>
    </w:p>
    <w:p w14:paraId="621F41F4" w14:textId="4E7FADDA" w:rsidR="0082137F" w:rsidRPr="0082137F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L’indépendance et l’impartialité des juridictions spécialisées, (dossier Question prioritaire de constitutionnalité et droit européen des droits de l’homme)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r w:rsidRPr="000929E5">
        <w:rPr>
          <w:i/>
          <w:sz w:val="22"/>
          <w:szCs w:val="22"/>
        </w:rPr>
        <w:t>RFDA</w:t>
      </w:r>
      <w:r w:rsidRPr="000929E5">
        <w:rPr>
          <w:sz w:val="22"/>
          <w:szCs w:val="22"/>
        </w:rPr>
        <w:t xml:space="preserve"> 2012/4, pp. 636-638.</w:t>
      </w:r>
    </w:p>
    <w:p w14:paraId="16C975D5" w14:textId="77777777" w:rsidR="0082137F" w:rsidRPr="000929E5" w:rsidRDefault="0082137F" w:rsidP="0082137F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49BA3489" w14:textId="4EDCAF32" w:rsidR="0082137F" w:rsidRPr="000929E5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L’apport du Traité de Lisbonne aux politiques européennes d’asile et d’immigration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r w:rsidRPr="000929E5">
        <w:rPr>
          <w:i/>
          <w:sz w:val="22"/>
          <w:szCs w:val="22"/>
        </w:rPr>
        <w:t>Rev.de l’Union européenne</w:t>
      </w:r>
      <w:r w:rsidR="00AB6AAA">
        <w:rPr>
          <w:sz w:val="22"/>
          <w:szCs w:val="22"/>
        </w:rPr>
        <w:t xml:space="preserve">, </w:t>
      </w:r>
      <w:r w:rsidRPr="000929E5">
        <w:rPr>
          <w:sz w:val="22"/>
          <w:szCs w:val="22"/>
        </w:rPr>
        <w:t>2011, n° 547, pp. 225-232.</w:t>
      </w:r>
    </w:p>
    <w:p w14:paraId="077E428A" w14:textId="77777777" w:rsidR="0082137F" w:rsidRPr="000929E5" w:rsidRDefault="0082137F" w:rsidP="0082137F">
      <w:pPr>
        <w:spacing w:line="276" w:lineRule="auto"/>
        <w:ind w:left="283" w:firstLine="1"/>
        <w:jc w:val="both"/>
        <w:rPr>
          <w:sz w:val="22"/>
          <w:szCs w:val="22"/>
        </w:rPr>
      </w:pPr>
    </w:p>
    <w:p w14:paraId="11CB68A6" w14:textId="751C1287" w:rsidR="0082137F" w:rsidRPr="000929E5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L’œuvre de la Cour de justice dans le domaine des politiques européennes d’asile et d’immigration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proofErr w:type="spellStart"/>
      <w:r w:rsidRPr="000929E5">
        <w:rPr>
          <w:i/>
          <w:sz w:val="22"/>
          <w:szCs w:val="22"/>
        </w:rPr>
        <w:t>Rev</w:t>
      </w:r>
      <w:proofErr w:type="spellEnd"/>
      <w:r w:rsidRPr="000929E5">
        <w:rPr>
          <w:i/>
          <w:sz w:val="22"/>
          <w:szCs w:val="22"/>
        </w:rPr>
        <w:t>. de l’Union européenne</w:t>
      </w:r>
      <w:r w:rsidR="00AB6AAA">
        <w:rPr>
          <w:sz w:val="22"/>
          <w:szCs w:val="22"/>
        </w:rPr>
        <w:t xml:space="preserve">, </w:t>
      </w:r>
      <w:r w:rsidRPr="000929E5">
        <w:rPr>
          <w:sz w:val="22"/>
          <w:szCs w:val="22"/>
        </w:rPr>
        <w:t>2011, n° 545, pp. 117-121.</w:t>
      </w:r>
    </w:p>
    <w:p w14:paraId="737E2E58" w14:textId="77777777" w:rsidR="0082137F" w:rsidRPr="0082137F" w:rsidRDefault="0082137F" w:rsidP="0082137F">
      <w:pPr>
        <w:rPr>
          <w:sz w:val="22"/>
          <w:szCs w:val="22"/>
        </w:rPr>
      </w:pPr>
    </w:p>
    <w:p w14:paraId="2086EEA7" w14:textId="24D2B1F4" w:rsidR="0082137F" w:rsidRPr="0082137F" w:rsidRDefault="0082137F" w:rsidP="008213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Du droit des citoyens de l’Union européenne à la non-discrimination en matière de prestations sociales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r w:rsidRPr="000929E5">
        <w:rPr>
          <w:i/>
          <w:sz w:val="22"/>
          <w:szCs w:val="22"/>
        </w:rPr>
        <w:t>Revue des Affaires européennes</w:t>
      </w:r>
      <w:r w:rsidRPr="000929E5">
        <w:rPr>
          <w:sz w:val="22"/>
          <w:szCs w:val="22"/>
        </w:rPr>
        <w:t>, 2009-2010/2, pp. 293-309.</w:t>
      </w:r>
    </w:p>
    <w:p w14:paraId="03FB7169" w14:textId="724C7841" w:rsidR="0052771E" w:rsidRDefault="0052771E" w:rsidP="0052771E">
      <w:pPr>
        <w:spacing w:line="276" w:lineRule="auto"/>
        <w:jc w:val="both"/>
      </w:pPr>
    </w:p>
    <w:p w14:paraId="0C362F3A" w14:textId="353BB804" w:rsidR="0052771E" w:rsidRPr="000929E5" w:rsidRDefault="0082137F" w:rsidP="0052771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 </w:t>
      </w:r>
      <w:r w:rsidR="0052771E" w:rsidRPr="000929E5">
        <w:rPr>
          <w:sz w:val="22"/>
          <w:szCs w:val="22"/>
        </w:rPr>
        <w:t>Ordre public et droit communautaire – communautarisation des réserves d’ordre public</w:t>
      </w:r>
      <w:r>
        <w:rPr>
          <w:sz w:val="22"/>
          <w:szCs w:val="22"/>
        </w:rPr>
        <w:t> »</w:t>
      </w:r>
      <w:r w:rsidR="0052771E" w:rsidRPr="000929E5">
        <w:rPr>
          <w:sz w:val="22"/>
          <w:szCs w:val="22"/>
        </w:rPr>
        <w:t xml:space="preserve">, </w:t>
      </w:r>
      <w:proofErr w:type="spellStart"/>
      <w:r w:rsidR="0052771E" w:rsidRPr="000929E5">
        <w:rPr>
          <w:i/>
          <w:iCs/>
          <w:sz w:val="22"/>
          <w:szCs w:val="22"/>
        </w:rPr>
        <w:t>Jcl</w:t>
      </w:r>
      <w:proofErr w:type="spellEnd"/>
      <w:r w:rsidR="0052771E" w:rsidRPr="000929E5">
        <w:rPr>
          <w:i/>
          <w:iCs/>
          <w:sz w:val="22"/>
          <w:szCs w:val="22"/>
        </w:rPr>
        <w:t>. Europe</w:t>
      </w:r>
      <w:r w:rsidR="0052771E" w:rsidRPr="000929E5">
        <w:rPr>
          <w:sz w:val="22"/>
          <w:szCs w:val="22"/>
        </w:rPr>
        <w:t>, Fasc. 650, juil. 2007, 26 p (refonte).</w:t>
      </w:r>
    </w:p>
    <w:p w14:paraId="15BE79A6" w14:textId="77777777" w:rsidR="0052771E" w:rsidRPr="000929E5" w:rsidRDefault="0052771E" w:rsidP="0052771E">
      <w:pPr>
        <w:spacing w:line="276" w:lineRule="auto"/>
        <w:jc w:val="both"/>
        <w:rPr>
          <w:sz w:val="22"/>
          <w:szCs w:val="22"/>
        </w:rPr>
      </w:pPr>
    </w:p>
    <w:p w14:paraId="1503597D" w14:textId="0D1A5547" w:rsidR="0082137F" w:rsidRPr="0082137F" w:rsidRDefault="0082137F" w:rsidP="0082137F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« </w:t>
      </w:r>
      <w:r w:rsidR="0052771E" w:rsidRPr="000929E5">
        <w:rPr>
          <w:sz w:val="22"/>
          <w:szCs w:val="22"/>
        </w:rPr>
        <w:t>La primauté du droit de l’Union aux termes de la décision n° 2004-505 DC du Conseil Constitutionnel – Reconnaissance et méconnaissance d’un principe</w:t>
      </w:r>
      <w:r>
        <w:rPr>
          <w:sz w:val="22"/>
          <w:szCs w:val="22"/>
        </w:rPr>
        <w:t> »</w:t>
      </w:r>
      <w:r w:rsidR="0052771E" w:rsidRPr="000929E5">
        <w:rPr>
          <w:sz w:val="22"/>
          <w:szCs w:val="22"/>
        </w:rPr>
        <w:t xml:space="preserve">, </w:t>
      </w:r>
      <w:r w:rsidR="0052771E" w:rsidRPr="000929E5">
        <w:rPr>
          <w:bCs/>
          <w:i/>
          <w:sz w:val="22"/>
          <w:szCs w:val="22"/>
        </w:rPr>
        <w:t>Revue des Affaires Européennes</w:t>
      </w:r>
      <w:r w:rsidR="0052771E" w:rsidRPr="000929E5">
        <w:rPr>
          <w:sz w:val="22"/>
          <w:szCs w:val="22"/>
        </w:rPr>
        <w:t>, 2005/1, pp. 119-130.</w:t>
      </w:r>
    </w:p>
    <w:p w14:paraId="4D6E2161" w14:textId="77777777" w:rsidR="0082137F" w:rsidRPr="000929E5" w:rsidRDefault="0082137F" w:rsidP="0082137F">
      <w:pPr>
        <w:spacing w:line="276" w:lineRule="auto"/>
        <w:jc w:val="both"/>
        <w:rPr>
          <w:b/>
          <w:sz w:val="22"/>
          <w:szCs w:val="22"/>
        </w:rPr>
      </w:pPr>
    </w:p>
    <w:p w14:paraId="7AAE4FBE" w14:textId="0008C4BF" w:rsidR="0052771E" w:rsidRPr="0082137F" w:rsidRDefault="0082137F" w:rsidP="0052771E">
      <w:pPr>
        <w:numPr>
          <w:ilvl w:val="0"/>
          <w:numId w:val="1"/>
        </w:numPr>
        <w:spacing w:after="16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0929E5">
        <w:rPr>
          <w:sz w:val="22"/>
          <w:szCs w:val="22"/>
        </w:rPr>
        <w:t>Ordre public et droit communautaire – Communautarisation des réserves d’ordre public</w:t>
      </w:r>
      <w:r>
        <w:rPr>
          <w:sz w:val="22"/>
          <w:szCs w:val="22"/>
        </w:rPr>
        <w:t> »</w:t>
      </w:r>
      <w:r w:rsidRPr="000929E5">
        <w:rPr>
          <w:sz w:val="22"/>
          <w:szCs w:val="22"/>
        </w:rPr>
        <w:t xml:space="preserve">, </w:t>
      </w:r>
      <w:proofErr w:type="spellStart"/>
      <w:r w:rsidRPr="000929E5">
        <w:rPr>
          <w:i/>
          <w:sz w:val="22"/>
          <w:szCs w:val="22"/>
        </w:rPr>
        <w:t>Jcl</w:t>
      </w:r>
      <w:proofErr w:type="spellEnd"/>
      <w:r w:rsidRPr="000929E5">
        <w:rPr>
          <w:sz w:val="22"/>
          <w:szCs w:val="22"/>
        </w:rPr>
        <w:t xml:space="preserve">. </w:t>
      </w:r>
      <w:r w:rsidRPr="000929E5">
        <w:rPr>
          <w:i/>
          <w:sz w:val="22"/>
          <w:szCs w:val="22"/>
        </w:rPr>
        <w:t>Europe</w:t>
      </w:r>
      <w:r w:rsidRPr="000929E5">
        <w:rPr>
          <w:sz w:val="22"/>
          <w:szCs w:val="22"/>
        </w:rPr>
        <w:t>, 2002, Fasc. 450, 26 p.</w:t>
      </w:r>
    </w:p>
    <w:p w14:paraId="1D475B57" w14:textId="7E69BAFA" w:rsidR="0052771E" w:rsidRPr="000929E5" w:rsidRDefault="0082137F" w:rsidP="0052771E">
      <w:pPr>
        <w:numPr>
          <w:ilvl w:val="0"/>
          <w:numId w:val="1"/>
        </w:numPr>
        <w:spacing w:after="160"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52771E" w:rsidRPr="000929E5">
        <w:rPr>
          <w:sz w:val="22"/>
          <w:szCs w:val="22"/>
        </w:rPr>
        <w:t>Ordre public et droit communautaire – L’ordre public communautaire en droit interne</w:t>
      </w:r>
      <w:r>
        <w:rPr>
          <w:sz w:val="22"/>
          <w:szCs w:val="22"/>
        </w:rPr>
        <w:t> »</w:t>
      </w:r>
      <w:r w:rsidR="0052771E" w:rsidRPr="000929E5">
        <w:rPr>
          <w:sz w:val="22"/>
          <w:szCs w:val="22"/>
        </w:rPr>
        <w:t xml:space="preserve">, </w:t>
      </w:r>
      <w:proofErr w:type="spellStart"/>
      <w:r w:rsidR="0052771E" w:rsidRPr="000929E5">
        <w:rPr>
          <w:i/>
          <w:sz w:val="22"/>
          <w:szCs w:val="22"/>
        </w:rPr>
        <w:t>Jcl</w:t>
      </w:r>
      <w:proofErr w:type="spellEnd"/>
      <w:r w:rsidR="0052771E" w:rsidRPr="000929E5">
        <w:rPr>
          <w:sz w:val="22"/>
          <w:szCs w:val="22"/>
        </w:rPr>
        <w:t xml:space="preserve">. </w:t>
      </w:r>
      <w:r w:rsidR="0052771E" w:rsidRPr="000929E5">
        <w:rPr>
          <w:i/>
          <w:iCs/>
          <w:sz w:val="22"/>
          <w:szCs w:val="22"/>
        </w:rPr>
        <w:t>Europe</w:t>
      </w:r>
      <w:r w:rsidR="0052771E" w:rsidRPr="000929E5">
        <w:rPr>
          <w:sz w:val="22"/>
          <w:szCs w:val="22"/>
        </w:rPr>
        <w:t>, 2002, Fasc. 452, 15 p.</w:t>
      </w:r>
    </w:p>
    <w:p w14:paraId="5587DFDC" w14:textId="34F28E76" w:rsidR="0052771E" w:rsidRPr="000929E5" w:rsidRDefault="0082137F" w:rsidP="0052771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 </w:t>
      </w:r>
      <w:r w:rsidR="0052771E" w:rsidRPr="000929E5">
        <w:rPr>
          <w:sz w:val="22"/>
          <w:szCs w:val="22"/>
        </w:rPr>
        <w:t>Discrimination raciale et Convention européenne des droits de l’homme – L’apport de la jurisprudence</w:t>
      </w:r>
      <w:r>
        <w:rPr>
          <w:sz w:val="22"/>
          <w:szCs w:val="22"/>
        </w:rPr>
        <w:t> »</w:t>
      </w:r>
      <w:r w:rsidR="0052771E" w:rsidRPr="000929E5">
        <w:rPr>
          <w:sz w:val="22"/>
          <w:szCs w:val="22"/>
        </w:rPr>
        <w:t xml:space="preserve">, </w:t>
      </w:r>
      <w:r w:rsidR="0052771E" w:rsidRPr="000929E5">
        <w:rPr>
          <w:i/>
          <w:sz w:val="22"/>
          <w:szCs w:val="22"/>
        </w:rPr>
        <w:t>Revue trimestrielle des droits de l’homme (RTDH)</w:t>
      </w:r>
      <w:r w:rsidR="0052771E" w:rsidRPr="000929E5">
        <w:rPr>
          <w:sz w:val="22"/>
          <w:szCs w:val="22"/>
        </w:rPr>
        <w:t>, 2001, n°46, pp. 517-539.</w:t>
      </w:r>
    </w:p>
    <w:p w14:paraId="765C26CB" w14:textId="77777777" w:rsidR="00102C35" w:rsidRPr="00961A53" w:rsidRDefault="00102C35" w:rsidP="00102C35">
      <w:pPr>
        <w:pStyle w:val="Corpsdetexte2"/>
        <w:spacing w:line="276" w:lineRule="auto"/>
      </w:pPr>
    </w:p>
    <w:p w14:paraId="4849290B" w14:textId="77777777" w:rsidR="00102C35" w:rsidRPr="00F9262D" w:rsidRDefault="00102C35" w:rsidP="00102C35">
      <w:pPr>
        <w:spacing w:line="276" w:lineRule="auto"/>
        <w:jc w:val="both"/>
        <w:rPr>
          <w:b/>
          <w:smallCaps/>
          <w:sz w:val="22"/>
          <w:szCs w:val="22"/>
        </w:rPr>
      </w:pPr>
      <w:r w:rsidRPr="00F9262D">
        <w:rPr>
          <w:b/>
          <w:smallCaps/>
          <w:sz w:val="22"/>
          <w:szCs w:val="22"/>
        </w:rPr>
        <w:t>III – Notes et chroniques de jurisprudence</w:t>
      </w:r>
    </w:p>
    <w:p w14:paraId="39B86223" w14:textId="77777777" w:rsidR="00102C35" w:rsidRPr="00F9262D" w:rsidRDefault="00102C35" w:rsidP="00102C35">
      <w:pPr>
        <w:spacing w:line="276" w:lineRule="auto"/>
        <w:ind w:left="284"/>
        <w:jc w:val="both"/>
        <w:rPr>
          <w:sz w:val="22"/>
          <w:szCs w:val="22"/>
          <w:u w:val="single"/>
        </w:rPr>
      </w:pPr>
    </w:p>
    <w:p w14:paraId="7199BC11" w14:textId="1227CA0B" w:rsidR="00102C35" w:rsidRPr="00F9262D" w:rsidRDefault="00F9262D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 xml:space="preserve">L’abrasion conventionnelle du délit d’offense au président de la République – note sous Cour EDH, 14 mars 2013, Eon c. </w:t>
      </w:r>
      <w:r>
        <w:rPr>
          <w:sz w:val="22"/>
          <w:szCs w:val="22"/>
        </w:rPr>
        <w:t>France »</w:t>
      </w:r>
      <w:r w:rsidR="00102C35" w:rsidRPr="00F9262D">
        <w:rPr>
          <w:sz w:val="22"/>
          <w:szCs w:val="22"/>
        </w:rPr>
        <w:t xml:space="preserve">, </w:t>
      </w:r>
      <w:r w:rsidR="00102C35" w:rsidRPr="00F9262D">
        <w:rPr>
          <w:i/>
          <w:sz w:val="22"/>
          <w:szCs w:val="22"/>
        </w:rPr>
        <w:t>JCP G</w:t>
      </w:r>
      <w:r w:rsidR="00102C35" w:rsidRPr="00F9262D">
        <w:rPr>
          <w:sz w:val="22"/>
          <w:szCs w:val="22"/>
        </w:rPr>
        <w:t>, 2013, note 656.</w:t>
      </w:r>
    </w:p>
    <w:p w14:paraId="31D0D2D6" w14:textId="77777777" w:rsidR="00102C35" w:rsidRPr="00F9262D" w:rsidRDefault="00102C35" w:rsidP="00102C35">
      <w:pPr>
        <w:spacing w:line="276" w:lineRule="auto"/>
        <w:ind w:left="284"/>
        <w:jc w:val="both"/>
        <w:rPr>
          <w:sz w:val="22"/>
          <w:szCs w:val="22"/>
        </w:rPr>
      </w:pPr>
    </w:p>
    <w:p w14:paraId="33351C8E" w14:textId="118B4107" w:rsidR="00102C35" w:rsidRPr="00F9262D" w:rsidRDefault="00F9262D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 xml:space="preserve">L’application revisitée de la présomption de protection équivalente – note sous Cour EDH, 6 déc. 2012, Michaud c. </w:t>
      </w:r>
      <w:r>
        <w:rPr>
          <w:sz w:val="22"/>
          <w:szCs w:val="22"/>
        </w:rPr>
        <w:t>France »</w:t>
      </w:r>
      <w:r w:rsidR="00102C35" w:rsidRPr="00F9262D">
        <w:rPr>
          <w:sz w:val="22"/>
          <w:szCs w:val="22"/>
        </w:rPr>
        <w:t xml:space="preserve">, </w:t>
      </w:r>
      <w:r w:rsidR="00102C35" w:rsidRPr="00F9262D">
        <w:rPr>
          <w:i/>
          <w:sz w:val="22"/>
          <w:szCs w:val="22"/>
        </w:rPr>
        <w:t>JCP G</w:t>
      </w:r>
      <w:r w:rsidR="00102C35" w:rsidRPr="00F9262D">
        <w:rPr>
          <w:sz w:val="22"/>
          <w:szCs w:val="22"/>
        </w:rPr>
        <w:t>, 2013, note 188.</w:t>
      </w:r>
    </w:p>
    <w:p w14:paraId="17955200" w14:textId="77777777" w:rsidR="00102C35" w:rsidRPr="00F9262D" w:rsidRDefault="00102C35" w:rsidP="00102C35">
      <w:pPr>
        <w:spacing w:line="276" w:lineRule="auto"/>
        <w:ind w:left="284"/>
        <w:jc w:val="both"/>
        <w:rPr>
          <w:sz w:val="22"/>
          <w:szCs w:val="22"/>
          <w:u w:val="single"/>
        </w:rPr>
      </w:pPr>
    </w:p>
    <w:p w14:paraId="56777861" w14:textId="73A17F5A" w:rsidR="00102C35" w:rsidRPr="00F9262D" w:rsidRDefault="00F9262D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 xml:space="preserve">Les prudentes avancées de la Cour européenne des droits de l’homme en matière d’accès au diagnostic préimplantatoire – note sous Cour EDH, 28 août 2012, Costa et </w:t>
      </w:r>
      <w:proofErr w:type="spellStart"/>
      <w:r w:rsidR="00102C35" w:rsidRPr="00F9262D">
        <w:rPr>
          <w:sz w:val="22"/>
          <w:szCs w:val="22"/>
        </w:rPr>
        <w:t>Pavan</w:t>
      </w:r>
      <w:proofErr w:type="spellEnd"/>
      <w:r w:rsidR="00102C35" w:rsidRPr="00F9262D">
        <w:rPr>
          <w:sz w:val="22"/>
          <w:szCs w:val="22"/>
        </w:rPr>
        <w:t xml:space="preserve"> c. </w:t>
      </w:r>
      <w:r>
        <w:rPr>
          <w:sz w:val="22"/>
          <w:szCs w:val="22"/>
        </w:rPr>
        <w:t>Italie »</w:t>
      </w:r>
      <w:r w:rsidR="00102C35" w:rsidRPr="00F9262D">
        <w:rPr>
          <w:sz w:val="22"/>
          <w:szCs w:val="22"/>
        </w:rPr>
        <w:t xml:space="preserve">, </w:t>
      </w:r>
      <w:r w:rsidR="00102C35" w:rsidRPr="00F9262D">
        <w:rPr>
          <w:i/>
          <w:sz w:val="22"/>
          <w:szCs w:val="22"/>
        </w:rPr>
        <w:t>JCP G</w:t>
      </w:r>
      <w:r w:rsidR="00102C35" w:rsidRPr="00F9262D">
        <w:rPr>
          <w:sz w:val="22"/>
          <w:szCs w:val="22"/>
        </w:rPr>
        <w:t>, 2012, note 1148</w:t>
      </w:r>
    </w:p>
    <w:p w14:paraId="40520BC9" w14:textId="77777777" w:rsidR="00102C35" w:rsidRPr="00F9262D" w:rsidRDefault="00102C35" w:rsidP="00102C35">
      <w:pPr>
        <w:pStyle w:val="Paragraphedeliste"/>
        <w:rPr>
          <w:sz w:val="22"/>
          <w:szCs w:val="22"/>
        </w:rPr>
      </w:pPr>
    </w:p>
    <w:p w14:paraId="269B031A" w14:textId="507C2B85" w:rsidR="00102C35" w:rsidRPr="00F9262D" w:rsidRDefault="00F9262D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2" w:name="_Hlk497042313"/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>Les évolutions de la jurisprudence de la Cour européenne des droits de l’homme</w:t>
      </w:r>
      <w:r>
        <w:rPr>
          <w:sz w:val="22"/>
          <w:szCs w:val="22"/>
        </w:rPr>
        <w:t> »</w:t>
      </w:r>
      <w:r w:rsidR="00102C35" w:rsidRPr="00F9262D">
        <w:rPr>
          <w:sz w:val="22"/>
          <w:szCs w:val="22"/>
        </w:rPr>
        <w:t xml:space="preserve"> (en collaboration avec M. </w:t>
      </w:r>
      <w:proofErr w:type="spellStart"/>
      <w:r w:rsidR="00102C35" w:rsidRPr="00F9262D">
        <w:rPr>
          <w:sz w:val="22"/>
          <w:szCs w:val="22"/>
        </w:rPr>
        <w:t>Afroukh</w:t>
      </w:r>
      <w:proofErr w:type="spellEnd"/>
      <w:r w:rsidR="00102C35" w:rsidRPr="00F9262D">
        <w:rPr>
          <w:sz w:val="22"/>
          <w:szCs w:val="22"/>
        </w:rPr>
        <w:t xml:space="preserve"> et C. Husson-</w:t>
      </w:r>
      <w:proofErr w:type="spellStart"/>
      <w:r w:rsidR="00102C35" w:rsidRPr="00F9262D">
        <w:rPr>
          <w:sz w:val="22"/>
          <w:szCs w:val="22"/>
        </w:rPr>
        <w:t>Rochcongar</w:t>
      </w:r>
      <w:proofErr w:type="spellEnd"/>
      <w:r w:rsidR="00102C35" w:rsidRPr="00F9262D">
        <w:rPr>
          <w:sz w:val="22"/>
          <w:szCs w:val="22"/>
        </w:rPr>
        <w:t xml:space="preserve">), </w:t>
      </w:r>
      <w:r w:rsidR="00102C35" w:rsidRPr="00F9262D">
        <w:rPr>
          <w:i/>
          <w:sz w:val="22"/>
          <w:szCs w:val="22"/>
        </w:rPr>
        <w:t>RDLF</w:t>
      </w:r>
    </w:p>
    <w:bookmarkEnd w:id="2"/>
    <w:p w14:paraId="5762431E" w14:textId="25D02250" w:rsidR="00D76D91" w:rsidRDefault="00D76D91" w:rsidP="00F9262D">
      <w:pPr>
        <w:pStyle w:val="Paragraphedeliste"/>
        <w:ind w:left="643"/>
        <w:rPr>
          <w:sz w:val="22"/>
          <w:szCs w:val="22"/>
        </w:rPr>
      </w:pPr>
      <w:r>
        <w:rPr>
          <w:sz w:val="22"/>
          <w:szCs w:val="22"/>
        </w:rPr>
        <w:t xml:space="preserve">2022, </w:t>
      </w:r>
      <w:proofErr w:type="spellStart"/>
      <w:r>
        <w:rPr>
          <w:sz w:val="22"/>
          <w:szCs w:val="22"/>
        </w:rPr>
        <w:t>chron</w:t>
      </w:r>
      <w:proofErr w:type="spellEnd"/>
      <w:r>
        <w:rPr>
          <w:sz w:val="22"/>
          <w:szCs w:val="22"/>
        </w:rPr>
        <w:t>. n° 16</w:t>
      </w:r>
    </w:p>
    <w:p w14:paraId="56E69976" w14:textId="4251CE40" w:rsidR="00F9262D" w:rsidRPr="00F13767" w:rsidRDefault="00F9262D" w:rsidP="00F9262D">
      <w:pPr>
        <w:pStyle w:val="Paragraphedeliste"/>
        <w:ind w:left="643"/>
        <w:rPr>
          <w:sz w:val="22"/>
          <w:szCs w:val="22"/>
        </w:rPr>
      </w:pPr>
      <w:r w:rsidRPr="00F13767">
        <w:rPr>
          <w:sz w:val="22"/>
          <w:szCs w:val="22"/>
        </w:rPr>
        <w:t xml:space="preserve">2021, </w:t>
      </w:r>
      <w:proofErr w:type="spellStart"/>
      <w:r w:rsidRPr="00F13767">
        <w:rPr>
          <w:sz w:val="22"/>
          <w:szCs w:val="22"/>
        </w:rPr>
        <w:t>chron</w:t>
      </w:r>
      <w:proofErr w:type="spellEnd"/>
      <w:r w:rsidRPr="00F13767">
        <w:rPr>
          <w:sz w:val="22"/>
          <w:szCs w:val="22"/>
        </w:rPr>
        <w:t>. n° 12</w:t>
      </w:r>
      <w:r>
        <w:rPr>
          <w:sz w:val="22"/>
          <w:szCs w:val="22"/>
        </w:rPr>
        <w:t xml:space="preserve"> et n° 36</w:t>
      </w:r>
    </w:p>
    <w:p w14:paraId="679A2C17" w14:textId="77777777" w:rsidR="00F9262D" w:rsidRPr="00F13767" w:rsidRDefault="00F9262D" w:rsidP="00F9262D">
      <w:pPr>
        <w:pStyle w:val="Paragraphedeliste"/>
        <w:ind w:left="643"/>
        <w:rPr>
          <w:sz w:val="22"/>
          <w:szCs w:val="22"/>
        </w:rPr>
      </w:pPr>
      <w:r w:rsidRPr="00F13767">
        <w:rPr>
          <w:sz w:val="22"/>
          <w:szCs w:val="22"/>
        </w:rPr>
        <w:t xml:space="preserve">2020, </w:t>
      </w:r>
      <w:proofErr w:type="spellStart"/>
      <w:r w:rsidRPr="00F13767">
        <w:rPr>
          <w:sz w:val="22"/>
          <w:szCs w:val="22"/>
        </w:rPr>
        <w:t>chron</w:t>
      </w:r>
      <w:proofErr w:type="spellEnd"/>
      <w:r w:rsidRPr="00F13767">
        <w:rPr>
          <w:sz w:val="22"/>
          <w:szCs w:val="22"/>
        </w:rPr>
        <w:t>. n° 75 et n° 32</w:t>
      </w:r>
    </w:p>
    <w:p w14:paraId="209A6199" w14:textId="77777777" w:rsidR="00F9262D" w:rsidRDefault="00F9262D" w:rsidP="00F9262D">
      <w:pPr>
        <w:pStyle w:val="Paragraphedeliste"/>
        <w:ind w:left="643"/>
        <w:rPr>
          <w:sz w:val="22"/>
          <w:szCs w:val="22"/>
        </w:rPr>
      </w:pPr>
      <w:r w:rsidRPr="00CF5DD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CF5DD5">
        <w:rPr>
          <w:sz w:val="22"/>
          <w:szCs w:val="22"/>
        </w:rPr>
        <w:t xml:space="preserve">, </w:t>
      </w:r>
      <w:proofErr w:type="spellStart"/>
      <w:r w:rsidRPr="00CF5DD5">
        <w:rPr>
          <w:sz w:val="22"/>
          <w:szCs w:val="22"/>
        </w:rPr>
        <w:t>chron</w:t>
      </w:r>
      <w:proofErr w:type="spellEnd"/>
      <w:r w:rsidRPr="00CF5DD5">
        <w:rPr>
          <w:sz w:val="22"/>
          <w:szCs w:val="22"/>
        </w:rPr>
        <w:t xml:space="preserve">. n° </w:t>
      </w:r>
      <w:r>
        <w:rPr>
          <w:sz w:val="22"/>
          <w:szCs w:val="22"/>
        </w:rPr>
        <w:t>47 et n° 13</w:t>
      </w:r>
    </w:p>
    <w:p w14:paraId="5D9EEBFE" w14:textId="77777777" w:rsidR="00F9262D" w:rsidRPr="00F13767" w:rsidRDefault="00F9262D" w:rsidP="00F9262D">
      <w:pPr>
        <w:pStyle w:val="Paragraphedeliste"/>
        <w:ind w:left="0" w:firstLine="643"/>
        <w:rPr>
          <w:sz w:val="22"/>
          <w:szCs w:val="22"/>
        </w:rPr>
      </w:pPr>
      <w:r w:rsidRPr="00F13767">
        <w:rPr>
          <w:sz w:val="22"/>
          <w:szCs w:val="22"/>
        </w:rPr>
        <w:t xml:space="preserve">2018, </w:t>
      </w:r>
      <w:proofErr w:type="spellStart"/>
      <w:r w:rsidRPr="00F13767">
        <w:rPr>
          <w:sz w:val="22"/>
          <w:szCs w:val="22"/>
        </w:rPr>
        <w:t>chron</w:t>
      </w:r>
      <w:proofErr w:type="spellEnd"/>
      <w:r w:rsidRPr="00F13767">
        <w:rPr>
          <w:sz w:val="22"/>
          <w:szCs w:val="22"/>
        </w:rPr>
        <w:t>. n° 22</w:t>
      </w:r>
      <w:r>
        <w:rPr>
          <w:sz w:val="22"/>
          <w:szCs w:val="22"/>
        </w:rPr>
        <w:t xml:space="preserve"> et n° 11</w:t>
      </w:r>
    </w:p>
    <w:p w14:paraId="34D05F11" w14:textId="77777777" w:rsidR="00F9262D" w:rsidRPr="00F13767" w:rsidRDefault="00F9262D" w:rsidP="00F9262D">
      <w:pPr>
        <w:pStyle w:val="Paragraphedeliste"/>
        <w:ind w:left="0" w:firstLine="643"/>
        <w:rPr>
          <w:sz w:val="22"/>
          <w:szCs w:val="22"/>
        </w:rPr>
      </w:pPr>
      <w:r w:rsidRPr="00F13767">
        <w:rPr>
          <w:sz w:val="22"/>
          <w:szCs w:val="22"/>
        </w:rPr>
        <w:t xml:space="preserve">2017, </w:t>
      </w:r>
      <w:proofErr w:type="spellStart"/>
      <w:r w:rsidRPr="00F13767">
        <w:rPr>
          <w:sz w:val="22"/>
          <w:szCs w:val="22"/>
        </w:rPr>
        <w:t>chron</w:t>
      </w:r>
      <w:proofErr w:type="spellEnd"/>
      <w:r w:rsidRPr="00F13767">
        <w:rPr>
          <w:sz w:val="22"/>
          <w:szCs w:val="22"/>
        </w:rPr>
        <w:t>. n° 31</w:t>
      </w:r>
    </w:p>
    <w:p w14:paraId="38DBE951" w14:textId="77777777" w:rsidR="00F9262D" w:rsidRDefault="00F9262D" w:rsidP="00F9262D">
      <w:pPr>
        <w:pStyle w:val="Paragraphedeliste"/>
        <w:ind w:left="0" w:firstLine="643"/>
        <w:rPr>
          <w:sz w:val="22"/>
          <w:szCs w:val="22"/>
          <w:lang w:val="en-US"/>
        </w:rPr>
      </w:pPr>
      <w:r w:rsidRPr="00F13767">
        <w:rPr>
          <w:sz w:val="22"/>
          <w:szCs w:val="22"/>
          <w:lang w:val="en-US"/>
        </w:rPr>
        <w:t>2016, chron. n° 29</w:t>
      </w:r>
    </w:p>
    <w:p w14:paraId="67928F9B" w14:textId="77777777" w:rsidR="00F9262D" w:rsidRDefault="00F9262D" w:rsidP="00F9262D">
      <w:pPr>
        <w:pStyle w:val="Paragraphedeliste"/>
        <w:ind w:left="0" w:firstLine="643"/>
        <w:rPr>
          <w:sz w:val="22"/>
          <w:szCs w:val="22"/>
          <w:lang w:val="en-US"/>
        </w:rPr>
      </w:pPr>
    </w:p>
    <w:p w14:paraId="7C9C1C93" w14:textId="77777777" w:rsidR="00F9262D" w:rsidRDefault="00F9262D" w:rsidP="00F926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Droit d’asile et politiques migratoires, in R. </w:t>
      </w:r>
      <w:proofErr w:type="spellStart"/>
      <w:r>
        <w:rPr>
          <w:sz w:val="22"/>
          <w:szCs w:val="22"/>
        </w:rPr>
        <w:t>Tinière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« Droits fondamentaux », </w:t>
      </w:r>
    </w:p>
    <w:p w14:paraId="0C01297E" w14:textId="6D76F6F8" w:rsidR="00F9262D" w:rsidRDefault="00F9262D" w:rsidP="00F9262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B04B0">
        <w:rPr>
          <w:i/>
          <w:iCs/>
          <w:sz w:val="22"/>
          <w:szCs w:val="22"/>
        </w:rPr>
        <w:t>Annuaire de droit européen 20</w:t>
      </w:r>
      <w:r>
        <w:rPr>
          <w:i/>
          <w:iCs/>
          <w:sz w:val="22"/>
          <w:szCs w:val="22"/>
        </w:rPr>
        <w:t>20</w:t>
      </w:r>
      <w:r w:rsidRPr="00A87A60">
        <w:rPr>
          <w:sz w:val="22"/>
          <w:szCs w:val="22"/>
        </w:rPr>
        <w:t>, Editions Panthéon-Assas, 202</w:t>
      </w:r>
      <w:r>
        <w:rPr>
          <w:sz w:val="22"/>
          <w:szCs w:val="22"/>
        </w:rPr>
        <w:t>1</w:t>
      </w:r>
      <w:r w:rsidRPr="00A87A60">
        <w:rPr>
          <w:sz w:val="22"/>
          <w:szCs w:val="22"/>
        </w:rPr>
        <w:t xml:space="preserve">, </w:t>
      </w:r>
      <w:r w:rsidRPr="00B47D48">
        <w:rPr>
          <w:sz w:val="22"/>
          <w:szCs w:val="22"/>
        </w:rPr>
        <w:t>pp.</w:t>
      </w:r>
      <w:r w:rsidR="00B47D48">
        <w:rPr>
          <w:sz w:val="22"/>
          <w:szCs w:val="22"/>
        </w:rPr>
        <w:t>442-453</w:t>
      </w:r>
    </w:p>
    <w:p w14:paraId="074BF643" w14:textId="73EE7609" w:rsidR="00F9262D" w:rsidRPr="00A87A60" w:rsidRDefault="00F9262D" w:rsidP="00F9262D">
      <w:pPr>
        <w:ind w:left="284" w:firstLine="424"/>
        <w:jc w:val="both"/>
        <w:rPr>
          <w:sz w:val="22"/>
          <w:szCs w:val="22"/>
        </w:rPr>
      </w:pPr>
      <w:r w:rsidRPr="008B04B0">
        <w:rPr>
          <w:i/>
          <w:iCs/>
          <w:sz w:val="22"/>
          <w:szCs w:val="22"/>
        </w:rPr>
        <w:t>Annuaire de droit européen 2019</w:t>
      </w:r>
      <w:r w:rsidRPr="00A87A60">
        <w:rPr>
          <w:sz w:val="22"/>
          <w:szCs w:val="22"/>
        </w:rPr>
        <w:t xml:space="preserve">, Editions Panthéon-Assas, 2020, </w:t>
      </w:r>
      <w:r w:rsidRPr="00B47D48">
        <w:rPr>
          <w:sz w:val="22"/>
          <w:szCs w:val="22"/>
        </w:rPr>
        <w:t>pp.</w:t>
      </w:r>
      <w:r w:rsidR="00B47D48">
        <w:rPr>
          <w:sz w:val="22"/>
          <w:szCs w:val="22"/>
        </w:rPr>
        <w:t>437-446</w:t>
      </w:r>
    </w:p>
    <w:p w14:paraId="23A18471" w14:textId="77777777" w:rsidR="00F9262D" w:rsidRPr="00A87A60" w:rsidRDefault="00F9262D" w:rsidP="00F9262D">
      <w:pPr>
        <w:ind w:left="284"/>
        <w:jc w:val="both"/>
        <w:rPr>
          <w:sz w:val="22"/>
          <w:szCs w:val="22"/>
        </w:rPr>
      </w:pPr>
      <w:r w:rsidRPr="00A87A60">
        <w:rPr>
          <w:sz w:val="22"/>
          <w:szCs w:val="22"/>
        </w:rPr>
        <w:tab/>
      </w:r>
      <w:r w:rsidRPr="008B04B0">
        <w:rPr>
          <w:i/>
          <w:iCs/>
          <w:sz w:val="22"/>
          <w:szCs w:val="22"/>
        </w:rPr>
        <w:t>Annuaire de droit européen 2018</w:t>
      </w:r>
      <w:r w:rsidRPr="00A87A60">
        <w:rPr>
          <w:sz w:val="22"/>
          <w:szCs w:val="22"/>
        </w:rPr>
        <w:t>, Editions Panthéon-Assas, 2019, pp. 446-455</w:t>
      </w:r>
      <w:r>
        <w:rPr>
          <w:sz w:val="22"/>
          <w:szCs w:val="22"/>
        </w:rPr>
        <w:t xml:space="preserve"> </w:t>
      </w:r>
    </w:p>
    <w:p w14:paraId="0662A956" w14:textId="77777777" w:rsidR="00F9262D" w:rsidRPr="00A87A60" w:rsidRDefault="00F9262D" w:rsidP="00F9262D">
      <w:pPr>
        <w:ind w:left="284"/>
        <w:jc w:val="both"/>
        <w:rPr>
          <w:sz w:val="22"/>
          <w:szCs w:val="22"/>
        </w:rPr>
      </w:pPr>
      <w:r w:rsidRPr="00A87A60">
        <w:rPr>
          <w:sz w:val="22"/>
          <w:szCs w:val="22"/>
        </w:rPr>
        <w:tab/>
      </w:r>
      <w:r w:rsidRPr="008B04B0">
        <w:rPr>
          <w:i/>
          <w:iCs/>
          <w:sz w:val="22"/>
          <w:szCs w:val="22"/>
        </w:rPr>
        <w:t>Annuaire de droit européen 2017,</w:t>
      </w:r>
      <w:r w:rsidRPr="00A87A60">
        <w:rPr>
          <w:sz w:val="22"/>
          <w:szCs w:val="22"/>
        </w:rPr>
        <w:t xml:space="preserve"> Editions Panthéon-Assas, 201</w:t>
      </w:r>
      <w:r>
        <w:rPr>
          <w:sz w:val="22"/>
          <w:szCs w:val="22"/>
        </w:rPr>
        <w:t>8</w:t>
      </w:r>
      <w:r w:rsidRPr="00A87A60">
        <w:rPr>
          <w:sz w:val="22"/>
          <w:szCs w:val="22"/>
        </w:rPr>
        <w:t xml:space="preserve">, pp. </w:t>
      </w:r>
      <w:r>
        <w:rPr>
          <w:sz w:val="22"/>
          <w:szCs w:val="22"/>
        </w:rPr>
        <w:t>511-518</w:t>
      </w:r>
    </w:p>
    <w:p w14:paraId="33213A6D" w14:textId="62D09ED8" w:rsidR="00F9262D" w:rsidRPr="00B21643" w:rsidRDefault="00F9262D" w:rsidP="00B21643">
      <w:pPr>
        <w:ind w:left="284"/>
        <w:jc w:val="both"/>
        <w:rPr>
          <w:sz w:val="22"/>
          <w:szCs w:val="22"/>
        </w:rPr>
      </w:pPr>
      <w:r w:rsidRPr="00A87A60">
        <w:rPr>
          <w:sz w:val="22"/>
          <w:szCs w:val="22"/>
        </w:rPr>
        <w:tab/>
      </w:r>
      <w:r w:rsidRPr="008B04B0">
        <w:rPr>
          <w:i/>
          <w:iCs/>
          <w:sz w:val="22"/>
          <w:szCs w:val="22"/>
        </w:rPr>
        <w:t>Annuaire de droit européen 2015</w:t>
      </w:r>
      <w:r w:rsidRPr="00A87A60">
        <w:rPr>
          <w:sz w:val="22"/>
          <w:szCs w:val="22"/>
        </w:rPr>
        <w:t>, Bruylant, 2016, pp. 457-459</w:t>
      </w:r>
    </w:p>
    <w:p w14:paraId="31E2F150" w14:textId="77777777" w:rsidR="00102C35" w:rsidRPr="00F9262D" w:rsidRDefault="00102C35" w:rsidP="00102C35">
      <w:pPr>
        <w:spacing w:line="276" w:lineRule="auto"/>
        <w:ind w:left="284"/>
        <w:jc w:val="both"/>
        <w:rPr>
          <w:sz w:val="22"/>
          <w:szCs w:val="22"/>
        </w:rPr>
      </w:pPr>
    </w:p>
    <w:p w14:paraId="6A505EA7" w14:textId="306FFEC2" w:rsidR="00102C35" w:rsidRPr="00F9262D" w:rsidRDefault="00B47D48" w:rsidP="00102C35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>Droit communautaire des droits fondamentaux – Chronique de la jurisprudence de la CJCE</w:t>
      </w:r>
      <w:r>
        <w:rPr>
          <w:sz w:val="22"/>
          <w:szCs w:val="22"/>
        </w:rPr>
        <w:t> »</w:t>
      </w:r>
      <w:r w:rsidR="00102C35" w:rsidRPr="00F9262D">
        <w:rPr>
          <w:sz w:val="22"/>
          <w:szCs w:val="22"/>
        </w:rPr>
        <w:t xml:space="preserve">, puis </w:t>
      </w:r>
      <w:r>
        <w:rPr>
          <w:sz w:val="22"/>
          <w:szCs w:val="22"/>
        </w:rPr>
        <w:t>« </w:t>
      </w:r>
      <w:r w:rsidR="00102C35" w:rsidRPr="00F9262D">
        <w:rPr>
          <w:sz w:val="22"/>
          <w:szCs w:val="22"/>
        </w:rPr>
        <w:t>Les juridictions de l’Union européenne et les droits fondamentaux – Chronique de jurisprudence</w:t>
      </w:r>
      <w:r>
        <w:rPr>
          <w:sz w:val="22"/>
          <w:szCs w:val="22"/>
        </w:rPr>
        <w:t> »,</w:t>
      </w:r>
      <w:r w:rsidR="00102C35" w:rsidRPr="00F9262D">
        <w:rPr>
          <w:sz w:val="22"/>
          <w:szCs w:val="22"/>
        </w:rPr>
        <w:t xml:space="preserve"> (en </w:t>
      </w:r>
      <w:proofErr w:type="spellStart"/>
      <w:r w:rsidR="00102C35" w:rsidRPr="00F9262D">
        <w:rPr>
          <w:sz w:val="22"/>
          <w:szCs w:val="22"/>
        </w:rPr>
        <w:t>co-direction</w:t>
      </w:r>
      <w:proofErr w:type="spellEnd"/>
      <w:r w:rsidR="00102C35" w:rsidRPr="00F9262D">
        <w:rPr>
          <w:sz w:val="22"/>
          <w:szCs w:val="22"/>
        </w:rPr>
        <w:t xml:space="preserve"> avec H. </w:t>
      </w:r>
      <w:proofErr w:type="spellStart"/>
      <w:r w:rsidR="00102C35" w:rsidRPr="00F9262D">
        <w:rPr>
          <w:sz w:val="22"/>
          <w:szCs w:val="22"/>
        </w:rPr>
        <w:t>Surrel</w:t>
      </w:r>
      <w:proofErr w:type="spellEnd"/>
      <w:r w:rsidR="00102C35" w:rsidRPr="00F9262D">
        <w:rPr>
          <w:sz w:val="22"/>
          <w:szCs w:val="22"/>
        </w:rPr>
        <w:t xml:space="preserve"> de 2003</w:t>
      </w:r>
      <w:r w:rsidR="00F9262D">
        <w:rPr>
          <w:sz w:val="22"/>
          <w:szCs w:val="22"/>
        </w:rPr>
        <w:t xml:space="preserve"> à 2013</w:t>
      </w:r>
      <w:r w:rsidR="00102C35" w:rsidRPr="00F9262D">
        <w:rPr>
          <w:sz w:val="22"/>
          <w:szCs w:val="22"/>
        </w:rPr>
        <w:t>),</w:t>
      </w:r>
      <w:r w:rsidR="00102C35" w:rsidRPr="00F9262D">
        <w:rPr>
          <w:i/>
          <w:sz w:val="22"/>
          <w:szCs w:val="22"/>
        </w:rPr>
        <w:t xml:space="preserve"> Revue trimestrielle des droits de l’homme,</w:t>
      </w:r>
    </w:p>
    <w:p w14:paraId="284C2FA5" w14:textId="77777777" w:rsidR="00102C35" w:rsidRPr="00FA53AE" w:rsidRDefault="00102C35" w:rsidP="00102C35">
      <w:pPr>
        <w:spacing w:line="276" w:lineRule="auto"/>
        <w:ind w:left="284"/>
        <w:jc w:val="both"/>
        <w:rPr>
          <w:sz w:val="20"/>
          <w:szCs w:val="20"/>
        </w:rPr>
      </w:pPr>
      <w:r w:rsidRPr="00F9262D">
        <w:rPr>
          <w:i/>
          <w:sz w:val="22"/>
          <w:szCs w:val="22"/>
        </w:rPr>
        <w:tab/>
      </w:r>
      <w:r w:rsidRPr="00FA53AE">
        <w:rPr>
          <w:sz w:val="20"/>
          <w:szCs w:val="20"/>
        </w:rPr>
        <w:t xml:space="preserve">2013,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654-658</w:t>
      </w:r>
      <w:r w:rsidRPr="00FA53AE">
        <w:rPr>
          <w:sz w:val="20"/>
          <w:szCs w:val="20"/>
        </w:rPr>
        <w:tab/>
      </w:r>
    </w:p>
    <w:p w14:paraId="0DCC93E7" w14:textId="77777777" w:rsidR="00102C35" w:rsidRPr="00FA53AE" w:rsidRDefault="00102C35" w:rsidP="00102C35">
      <w:pPr>
        <w:spacing w:line="276" w:lineRule="auto"/>
        <w:ind w:left="284" w:firstLine="424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2012,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902-904, 891-895</w:t>
      </w:r>
    </w:p>
    <w:p w14:paraId="7C52B8EA" w14:textId="77777777" w:rsidR="00102C35" w:rsidRPr="00FA53AE" w:rsidRDefault="00102C35" w:rsidP="00102C35">
      <w:pPr>
        <w:spacing w:line="276" w:lineRule="auto"/>
        <w:ind w:left="284" w:firstLine="424"/>
        <w:jc w:val="both"/>
        <w:rPr>
          <w:sz w:val="20"/>
          <w:szCs w:val="20"/>
        </w:rPr>
      </w:pPr>
      <w:r w:rsidRPr="00FA53AE">
        <w:rPr>
          <w:sz w:val="20"/>
          <w:szCs w:val="20"/>
        </w:rPr>
        <w:lastRenderedPageBreak/>
        <w:t xml:space="preserve">2011,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595-598, 603-605</w:t>
      </w:r>
    </w:p>
    <w:p w14:paraId="0C8CEB76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2010,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 xml:space="preserve">. p. 638-640, p. 642, pp. 647-648 </w:t>
      </w:r>
    </w:p>
    <w:p w14:paraId="1531CA7D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2009,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683-686, pp. 694-697</w:t>
      </w:r>
    </w:p>
    <w:p w14:paraId="3231CEDD" w14:textId="77777777" w:rsidR="00102C35" w:rsidRPr="00FA53AE" w:rsidRDefault="00102C35" w:rsidP="00102C35">
      <w:pPr>
        <w:spacing w:line="276" w:lineRule="auto"/>
        <w:ind w:left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2008,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685-688, pp 692-693, pp  699-701</w:t>
      </w:r>
    </w:p>
    <w:p w14:paraId="3BD9C9A1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2007,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 xml:space="preserve">. pp. 708-709, pp 714-716, pp 719-721 </w:t>
      </w:r>
    </w:p>
    <w:p w14:paraId="2D18FB0F" w14:textId="77777777" w:rsidR="00102C35" w:rsidRPr="00FA53AE" w:rsidRDefault="00102C35" w:rsidP="00102C35">
      <w:pPr>
        <w:spacing w:line="276" w:lineRule="auto"/>
        <w:ind w:left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2006,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 xml:space="preserve">. p. 616, 618-621 </w:t>
      </w:r>
    </w:p>
    <w:p w14:paraId="3264328F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2005,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 xml:space="preserve">. pp. 649-651, pp. 654-656 et pp. 656-658 </w:t>
      </w:r>
    </w:p>
    <w:p w14:paraId="48F4760F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2004,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 xml:space="preserve">. pp. 722-724, pp. 728-729 et pp. 730-733 </w:t>
      </w:r>
    </w:p>
    <w:p w14:paraId="6561FCAE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2003,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876-880</w:t>
      </w:r>
    </w:p>
    <w:p w14:paraId="7B279A3D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2002, pp. 665-668, pp. 669 </w:t>
      </w:r>
    </w:p>
    <w:p w14:paraId="3955201B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2001, pp. 805-806, pp. 807-809</w:t>
      </w:r>
    </w:p>
    <w:p w14:paraId="11BD6EB9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2000, pp. 508-511, pp. 513-515</w:t>
      </w:r>
    </w:p>
    <w:p w14:paraId="2B4D6A8D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1999, p. 493</w:t>
      </w:r>
    </w:p>
    <w:p w14:paraId="53FD77AA" w14:textId="77777777" w:rsidR="00102C35" w:rsidRPr="00FA53AE" w:rsidRDefault="00102C35" w:rsidP="00102C35">
      <w:pPr>
        <w:spacing w:line="276" w:lineRule="auto"/>
        <w:ind w:firstLine="708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1998, pp 681-683</w:t>
      </w:r>
    </w:p>
    <w:p w14:paraId="3DE4A9CC" w14:textId="77777777" w:rsidR="00102C35" w:rsidRPr="00F9262D" w:rsidRDefault="00102C35" w:rsidP="00102C35">
      <w:pPr>
        <w:spacing w:line="276" w:lineRule="auto"/>
        <w:ind w:left="284"/>
        <w:jc w:val="both"/>
        <w:rPr>
          <w:sz w:val="22"/>
          <w:szCs w:val="22"/>
        </w:rPr>
      </w:pPr>
    </w:p>
    <w:p w14:paraId="0852C650" w14:textId="77777777" w:rsidR="00102C35" w:rsidRPr="00F9262D" w:rsidRDefault="00102C35" w:rsidP="00102C35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F9262D">
        <w:rPr>
          <w:sz w:val="22"/>
          <w:szCs w:val="22"/>
        </w:rPr>
        <w:t>Contributions in F. Sudre (</w:t>
      </w:r>
      <w:proofErr w:type="spellStart"/>
      <w:r w:rsidRPr="00F9262D">
        <w:rPr>
          <w:sz w:val="22"/>
          <w:szCs w:val="22"/>
        </w:rPr>
        <w:t>Dir</w:t>
      </w:r>
      <w:proofErr w:type="spellEnd"/>
      <w:r w:rsidRPr="00F9262D">
        <w:rPr>
          <w:sz w:val="22"/>
          <w:szCs w:val="22"/>
        </w:rPr>
        <w:t>.), Chronique de jurisprudence de la Cour européenne des droits de l’homme</w:t>
      </w:r>
      <w:r w:rsidRPr="00F9262D">
        <w:rPr>
          <w:i/>
          <w:sz w:val="22"/>
          <w:szCs w:val="22"/>
        </w:rPr>
        <w:t>, Revue du Droit Public</w:t>
      </w:r>
      <w:r w:rsidRPr="00F9262D">
        <w:rPr>
          <w:sz w:val="22"/>
          <w:szCs w:val="22"/>
        </w:rPr>
        <w:t xml:space="preserve"> </w:t>
      </w:r>
    </w:p>
    <w:p w14:paraId="6A8E9E50" w14:textId="77777777" w:rsidR="00102C35" w:rsidRPr="00FA53AE" w:rsidRDefault="00102C35" w:rsidP="00102C35">
      <w:pPr>
        <w:ind w:left="643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2015, n°3,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795-797 ; pp. 806-807 ; pp. 808-810.</w:t>
      </w:r>
    </w:p>
    <w:p w14:paraId="7C5C4630" w14:textId="77777777" w:rsidR="00102C35" w:rsidRPr="00FA53AE" w:rsidRDefault="00102C35" w:rsidP="00102C35">
      <w:pPr>
        <w:ind w:left="643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2014, n°3,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pp. 795-797 ; pp. 806-807 ; pp. 808-810.</w:t>
      </w:r>
    </w:p>
    <w:p w14:paraId="7AFDAB8D" w14:textId="77777777" w:rsidR="00102C35" w:rsidRPr="00FA53AE" w:rsidRDefault="00102C35" w:rsidP="00102C35">
      <w:pPr>
        <w:spacing w:line="276" w:lineRule="auto"/>
        <w:ind w:left="643"/>
        <w:jc w:val="both"/>
        <w:rPr>
          <w:i/>
          <w:sz w:val="20"/>
          <w:szCs w:val="20"/>
        </w:rPr>
      </w:pPr>
      <w:r w:rsidRPr="00FA53AE">
        <w:rPr>
          <w:sz w:val="20"/>
          <w:szCs w:val="20"/>
        </w:rPr>
        <w:t xml:space="preserve">2013 n° 3 </w:t>
      </w:r>
      <w:proofErr w:type="spellStart"/>
      <w:r w:rsidRPr="00FA53AE">
        <w:rPr>
          <w:sz w:val="20"/>
          <w:szCs w:val="20"/>
        </w:rPr>
        <w:t>spéc</w:t>
      </w:r>
      <w:proofErr w:type="spellEnd"/>
      <w:r w:rsidRPr="00FA53AE">
        <w:rPr>
          <w:sz w:val="20"/>
          <w:szCs w:val="20"/>
        </w:rPr>
        <w:t>. p. 732 ; pp. 749-751, pp. 752-753.</w:t>
      </w:r>
    </w:p>
    <w:p w14:paraId="70AB33D6" w14:textId="77777777" w:rsidR="00102C35" w:rsidRPr="00FA53AE" w:rsidRDefault="00102C35" w:rsidP="00102C35">
      <w:pPr>
        <w:spacing w:line="276" w:lineRule="auto"/>
        <w:ind w:left="284" w:firstLine="359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2005, n° 3,</w:t>
      </w:r>
      <w:r w:rsidRPr="00FA53AE">
        <w:rPr>
          <w:b/>
          <w:sz w:val="20"/>
          <w:szCs w:val="20"/>
        </w:rPr>
        <w:t xml:space="preserve"> </w:t>
      </w:r>
      <w:r w:rsidRPr="00FA53AE">
        <w:rPr>
          <w:sz w:val="20"/>
          <w:szCs w:val="20"/>
        </w:rPr>
        <w:t>pp. 772-773 ; 781-789 ; 791-793.</w:t>
      </w:r>
    </w:p>
    <w:p w14:paraId="72F07D12" w14:textId="77777777" w:rsidR="00102C35" w:rsidRPr="00FA53AE" w:rsidRDefault="00102C35" w:rsidP="00102C35">
      <w:pPr>
        <w:spacing w:line="276" w:lineRule="auto"/>
        <w:ind w:left="284" w:firstLine="359"/>
        <w:jc w:val="both"/>
        <w:rPr>
          <w:sz w:val="20"/>
          <w:szCs w:val="20"/>
        </w:rPr>
      </w:pPr>
      <w:r w:rsidRPr="00FA53AE">
        <w:rPr>
          <w:sz w:val="20"/>
          <w:szCs w:val="20"/>
        </w:rPr>
        <w:t>2004, n° 3, pp. 806-810, 823-827, 832-835.</w:t>
      </w:r>
    </w:p>
    <w:p w14:paraId="0EFAFDC6" w14:textId="77777777" w:rsidR="00102C35" w:rsidRPr="00F9262D" w:rsidRDefault="00102C35" w:rsidP="00102C35">
      <w:pPr>
        <w:spacing w:line="276" w:lineRule="auto"/>
        <w:jc w:val="both"/>
        <w:rPr>
          <w:sz w:val="22"/>
          <w:szCs w:val="22"/>
        </w:rPr>
      </w:pPr>
    </w:p>
    <w:p w14:paraId="4DE64D80" w14:textId="77777777" w:rsidR="00102C35" w:rsidRPr="00F9262D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9262D">
        <w:rPr>
          <w:sz w:val="22"/>
          <w:szCs w:val="22"/>
        </w:rPr>
        <w:t>Contributions in F. Sudre et G. Gonzalez (</w:t>
      </w:r>
      <w:proofErr w:type="spellStart"/>
      <w:r w:rsidRPr="00F9262D">
        <w:rPr>
          <w:sz w:val="22"/>
          <w:szCs w:val="22"/>
        </w:rPr>
        <w:t>dir</w:t>
      </w:r>
      <w:proofErr w:type="spellEnd"/>
      <w:r w:rsidRPr="00F9262D">
        <w:rPr>
          <w:sz w:val="22"/>
          <w:szCs w:val="22"/>
        </w:rPr>
        <w:t xml:space="preserve">.), Actualités de droit européen et international, </w:t>
      </w:r>
      <w:r w:rsidRPr="00F9262D">
        <w:rPr>
          <w:i/>
          <w:iCs/>
          <w:sz w:val="22"/>
          <w:szCs w:val="22"/>
        </w:rPr>
        <w:t>JCP G</w:t>
      </w:r>
    </w:p>
    <w:p w14:paraId="173806A9" w14:textId="77777777" w:rsidR="00102C35" w:rsidRPr="00FA53AE" w:rsidRDefault="00102C35" w:rsidP="00102C35">
      <w:pPr>
        <w:ind w:left="284" w:firstLine="359"/>
        <w:jc w:val="both"/>
        <w:rPr>
          <w:sz w:val="20"/>
          <w:szCs w:val="20"/>
          <w:lang w:val="en-US"/>
        </w:rPr>
      </w:pPr>
      <w:r w:rsidRPr="00FA53AE">
        <w:rPr>
          <w:sz w:val="20"/>
          <w:szCs w:val="20"/>
          <w:lang w:val="en-US"/>
        </w:rPr>
        <w:t>2014, Act. 1222 ; Act. 1084 ; Act. 872 ; Act. 762 ; Act. 628 ; Act. 516 ; Act. 313 ; Act. 174</w:t>
      </w:r>
    </w:p>
    <w:p w14:paraId="5B644F18" w14:textId="77777777" w:rsidR="00102C35" w:rsidRPr="00FA53AE" w:rsidRDefault="00102C35" w:rsidP="00102C35">
      <w:pPr>
        <w:spacing w:line="276" w:lineRule="auto"/>
        <w:ind w:left="643"/>
        <w:jc w:val="both"/>
        <w:rPr>
          <w:sz w:val="20"/>
          <w:szCs w:val="20"/>
          <w:lang w:val="en-US"/>
        </w:rPr>
      </w:pPr>
      <w:r w:rsidRPr="00FA53AE">
        <w:rPr>
          <w:sz w:val="20"/>
          <w:szCs w:val="20"/>
          <w:lang w:val="en-US"/>
        </w:rPr>
        <w:t>2013, Act. 967 ; Act. 714 ; Act. 449</w:t>
      </w:r>
    </w:p>
    <w:p w14:paraId="323B336C" w14:textId="77777777" w:rsidR="00102C35" w:rsidRPr="00FA53AE" w:rsidRDefault="00102C35" w:rsidP="00102C35">
      <w:pPr>
        <w:spacing w:line="276" w:lineRule="auto"/>
        <w:ind w:left="643"/>
        <w:jc w:val="both"/>
        <w:rPr>
          <w:sz w:val="20"/>
          <w:szCs w:val="20"/>
          <w:lang w:val="en-US"/>
        </w:rPr>
      </w:pPr>
      <w:r w:rsidRPr="00FA53AE">
        <w:rPr>
          <w:sz w:val="20"/>
          <w:szCs w:val="20"/>
          <w:lang w:val="en-US"/>
        </w:rPr>
        <w:t>2012, Act 1419 ; Act. 1281 ; Act. 971 ; Act. 716 ; Act. 582 ; Act. 380 ; Act. 79</w:t>
      </w:r>
    </w:p>
    <w:p w14:paraId="243078B3" w14:textId="77777777" w:rsidR="00102C35" w:rsidRPr="00FA53AE" w:rsidRDefault="00102C35" w:rsidP="00102C35">
      <w:pPr>
        <w:spacing w:line="276" w:lineRule="auto"/>
        <w:ind w:left="643"/>
        <w:jc w:val="both"/>
        <w:rPr>
          <w:sz w:val="20"/>
          <w:szCs w:val="20"/>
          <w:lang w:val="en-US"/>
        </w:rPr>
      </w:pPr>
      <w:r w:rsidRPr="00FA53AE">
        <w:rPr>
          <w:sz w:val="20"/>
          <w:szCs w:val="20"/>
          <w:lang w:val="en-US"/>
        </w:rPr>
        <w:t>2011, Act 1364 ; Act. 1291 ; Act. 1133 ; Act. 730 ; Act. 532; Act. 124</w:t>
      </w:r>
    </w:p>
    <w:p w14:paraId="729322EC" w14:textId="4C934986" w:rsidR="00102C35" w:rsidRPr="00FA53AE" w:rsidRDefault="00102C35" w:rsidP="00102C35">
      <w:pPr>
        <w:spacing w:line="276" w:lineRule="auto"/>
        <w:ind w:left="643"/>
        <w:jc w:val="both"/>
        <w:rPr>
          <w:sz w:val="20"/>
          <w:szCs w:val="20"/>
          <w:lang w:val="en-US"/>
        </w:rPr>
      </w:pPr>
      <w:r w:rsidRPr="00FA53AE">
        <w:rPr>
          <w:sz w:val="20"/>
          <w:szCs w:val="20"/>
          <w:lang w:val="en-US"/>
        </w:rPr>
        <w:t>2010, Act.1321 ; Act. 1125 ; Act. 855 ; Act. 768 ; Act. 513; Act.512; Act. 394; Act. 395 ; Act. 195</w:t>
      </w:r>
    </w:p>
    <w:p w14:paraId="497872D8" w14:textId="77777777" w:rsidR="00B21643" w:rsidRPr="00F9262D" w:rsidRDefault="00B21643" w:rsidP="00102C35">
      <w:pPr>
        <w:spacing w:line="276" w:lineRule="auto"/>
        <w:ind w:left="643"/>
        <w:jc w:val="both"/>
        <w:rPr>
          <w:sz w:val="22"/>
          <w:szCs w:val="22"/>
          <w:lang w:val="en-US"/>
        </w:rPr>
      </w:pPr>
    </w:p>
    <w:p w14:paraId="11AFA4E8" w14:textId="77777777" w:rsidR="00102C35" w:rsidRPr="00F9262D" w:rsidRDefault="00102C35" w:rsidP="00102C3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9262D">
        <w:rPr>
          <w:sz w:val="22"/>
          <w:szCs w:val="22"/>
        </w:rPr>
        <w:t>Contributions in F. Sudre (</w:t>
      </w:r>
      <w:proofErr w:type="spellStart"/>
      <w:r w:rsidRPr="00F9262D">
        <w:rPr>
          <w:sz w:val="22"/>
          <w:szCs w:val="22"/>
        </w:rPr>
        <w:t>Dir</w:t>
      </w:r>
      <w:proofErr w:type="spellEnd"/>
      <w:r w:rsidRPr="00F9262D">
        <w:rPr>
          <w:sz w:val="22"/>
          <w:szCs w:val="22"/>
        </w:rPr>
        <w:t xml:space="preserve">.), Chronique de jurisprudence de la Cour européenne des droits de l’homme, </w:t>
      </w:r>
      <w:r w:rsidRPr="00F9262D">
        <w:rPr>
          <w:i/>
          <w:sz w:val="22"/>
          <w:szCs w:val="22"/>
        </w:rPr>
        <w:t>Annuaire de droit européen</w:t>
      </w:r>
      <w:r w:rsidRPr="00F9262D">
        <w:rPr>
          <w:sz w:val="22"/>
          <w:szCs w:val="22"/>
        </w:rPr>
        <w:t xml:space="preserve"> </w:t>
      </w:r>
    </w:p>
    <w:p w14:paraId="1A5624C9" w14:textId="77777777" w:rsidR="00102C35" w:rsidRPr="00FA53AE" w:rsidRDefault="00102C35" w:rsidP="00102C35">
      <w:pPr>
        <w:spacing w:line="276" w:lineRule="auto"/>
        <w:ind w:left="284" w:firstLine="424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(Volume II – </w:t>
      </w:r>
      <w:r w:rsidRPr="00FA53AE">
        <w:rPr>
          <w:iCs/>
          <w:sz w:val="20"/>
          <w:szCs w:val="20"/>
        </w:rPr>
        <w:t>2004</w:t>
      </w:r>
      <w:r w:rsidRPr="00FA53AE">
        <w:rPr>
          <w:i/>
          <w:iCs/>
          <w:sz w:val="20"/>
          <w:szCs w:val="20"/>
        </w:rPr>
        <w:t>)</w:t>
      </w:r>
      <w:r w:rsidRPr="00FA53AE">
        <w:rPr>
          <w:sz w:val="20"/>
          <w:szCs w:val="20"/>
        </w:rPr>
        <w:t xml:space="preserve">, Bruylant, 2006, pp. 853-859 ; </w:t>
      </w:r>
    </w:p>
    <w:p w14:paraId="718A1E36" w14:textId="786AA982" w:rsidR="00102C35" w:rsidRPr="00FA53AE" w:rsidRDefault="00102C35" w:rsidP="00B21643">
      <w:pPr>
        <w:spacing w:line="276" w:lineRule="auto"/>
        <w:ind w:left="284" w:firstLine="424"/>
        <w:jc w:val="both"/>
        <w:rPr>
          <w:sz w:val="20"/>
          <w:szCs w:val="20"/>
        </w:rPr>
      </w:pPr>
      <w:r w:rsidRPr="00FA53AE">
        <w:rPr>
          <w:sz w:val="20"/>
          <w:szCs w:val="20"/>
        </w:rPr>
        <w:t xml:space="preserve">(Volume I – </w:t>
      </w:r>
      <w:r w:rsidRPr="00FA53AE">
        <w:rPr>
          <w:iCs/>
          <w:sz w:val="20"/>
          <w:szCs w:val="20"/>
        </w:rPr>
        <w:t>2003</w:t>
      </w:r>
      <w:r w:rsidRPr="00FA53AE">
        <w:rPr>
          <w:i/>
          <w:iCs/>
          <w:sz w:val="20"/>
          <w:szCs w:val="20"/>
        </w:rPr>
        <w:t>)</w:t>
      </w:r>
      <w:r w:rsidRPr="00FA53AE">
        <w:rPr>
          <w:sz w:val="20"/>
          <w:szCs w:val="20"/>
        </w:rPr>
        <w:t>, Bruylant, 2005, pp. 668-673.</w:t>
      </w:r>
    </w:p>
    <w:sectPr w:rsidR="00102C35" w:rsidRPr="00FA53AE" w:rsidSect="00A832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B63"/>
    <w:multiLevelType w:val="hybridMultilevel"/>
    <w:tmpl w:val="2166BB9C"/>
    <w:lvl w:ilvl="0" w:tplc="810A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6D6"/>
    <w:multiLevelType w:val="hybridMultilevel"/>
    <w:tmpl w:val="8DC2D30C"/>
    <w:lvl w:ilvl="0" w:tplc="E554695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0FF6AB9"/>
    <w:multiLevelType w:val="hybridMultilevel"/>
    <w:tmpl w:val="625E372A"/>
    <w:lvl w:ilvl="0" w:tplc="75DE5EE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4C"/>
    <w:rsid w:val="0002030B"/>
    <w:rsid w:val="00061A4E"/>
    <w:rsid w:val="00075EE0"/>
    <w:rsid w:val="00092762"/>
    <w:rsid w:val="000929E5"/>
    <w:rsid w:val="00102C35"/>
    <w:rsid w:val="0023640E"/>
    <w:rsid w:val="002A7025"/>
    <w:rsid w:val="002A77C8"/>
    <w:rsid w:val="0031304C"/>
    <w:rsid w:val="00315610"/>
    <w:rsid w:val="0052771E"/>
    <w:rsid w:val="005401B5"/>
    <w:rsid w:val="005C0488"/>
    <w:rsid w:val="00671FC4"/>
    <w:rsid w:val="006A51A3"/>
    <w:rsid w:val="00746049"/>
    <w:rsid w:val="00763044"/>
    <w:rsid w:val="007E7CB4"/>
    <w:rsid w:val="0082137F"/>
    <w:rsid w:val="0082169F"/>
    <w:rsid w:val="00923C1E"/>
    <w:rsid w:val="009969C6"/>
    <w:rsid w:val="009A050D"/>
    <w:rsid w:val="009C03BE"/>
    <w:rsid w:val="009E5E59"/>
    <w:rsid w:val="00A832C9"/>
    <w:rsid w:val="00A85D12"/>
    <w:rsid w:val="00AB6AAA"/>
    <w:rsid w:val="00B21643"/>
    <w:rsid w:val="00B47D48"/>
    <w:rsid w:val="00B812DB"/>
    <w:rsid w:val="00B9223C"/>
    <w:rsid w:val="00C73089"/>
    <w:rsid w:val="00C94941"/>
    <w:rsid w:val="00CA726D"/>
    <w:rsid w:val="00CE224E"/>
    <w:rsid w:val="00D2260A"/>
    <w:rsid w:val="00D513AD"/>
    <w:rsid w:val="00D76D91"/>
    <w:rsid w:val="00D857B5"/>
    <w:rsid w:val="00EB7E2B"/>
    <w:rsid w:val="00F9262D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1304C"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304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1304C"/>
    <w:pPr>
      <w:spacing w:line="36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3130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1304C"/>
    <w:pPr>
      <w:jc w:val="both"/>
    </w:pPr>
    <w:rPr>
      <w:sz w:val="23"/>
    </w:rPr>
  </w:style>
  <w:style w:type="character" w:customStyle="1" w:styleId="Corpsdetexte3Car">
    <w:name w:val="Corps de texte 3 Car"/>
    <w:basedOn w:val="Policepardfaut"/>
    <w:link w:val="Corpsdetexte3"/>
    <w:semiHidden/>
    <w:rsid w:val="0031304C"/>
    <w:rPr>
      <w:rFonts w:ascii="Times New Roman" w:eastAsia="Times New Roman" w:hAnsi="Times New Roman" w:cs="Times New Roman"/>
      <w:sz w:val="23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1304C"/>
    <w:pPr>
      <w:spacing w:after="40"/>
      <w:ind w:left="1410"/>
      <w:jc w:val="both"/>
    </w:pPr>
    <w:rPr>
      <w:sz w:val="23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1304C"/>
    <w:rPr>
      <w:rFonts w:ascii="Times New Roman" w:eastAsia="Times New Roman" w:hAnsi="Times New Roman" w:cs="Times New Roman"/>
      <w:sz w:val="23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02C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02C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2C35"/>
    <w:pPr>
      <w:ind w:left="708"/>
    </w:pPr>
  </w:style>
  <w:style w:type="character" w:styleId="Lienhypertexte">
    <w:name w:val="Hyperlink"/>
    <w:basedOn w:val="Policepardfaut"/>
    <w:uiPriority w:val="99"/>
    <w:unhideWhenUsed/>
    <w:rsid w:val="00A832C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32C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0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1304C"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304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1304C"/>
    <w:pPr>
      <w:spacing w:line="36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3130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1304C"/>
    <w:pPr>
      <w:jc w:val="both"/>
    </w:pPr>
    <w:rPr>
      <w:sz w:val="23"/>
    </w:rPr>
  </w:style>
  <w:style w:type="character" w:customStyle="1" w:styleId="Corpsdetexte3Car">
    <w:name w:val="Corps de texte 3 Car"/>
    <w:basedOn w:val="Policepardfaut"/>
    <w:link w:val="Corpsdetexte3"/>
    <w:semiHidden/>
    <w:rsid w:val="0031304C"/>
    <w:rPr>
      <w:rFonts w:ascii="Times New Roman" w:eastAsia="Times New Roman" w:hAnsi="Times New Roman" w:cs="Times New Roman"/>
      <w:sz w:val="23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1304C"/>
    <w:pPr>
      <w:spacing w:after="40"/>
      <w:ind w:left="1410"/>
      <w:jc w:val="both"/>
    </w:pPr>
    <w:rPr>
      <w:sz w:val="23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1304C"/>
    <w:rPr>
      <w:rFonts w:ascii="Times New Roman" w:eastAsia="Times New Roman" w:hAnsi="Times New Roman" w:cs="Times New Roman"/>
      <w:sz w:val="23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02C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02C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2C35"/>
    <w:pPr>
      <w:ind w:left="708"/>
    </w:pPr>
  </w:style>
  <w:style w:type="character" w:styleId="Lienhypertexte">
    <w:name w:val="Hyperlink"/>
    <w:basedOn w:val="Policepardfaut"/>
    <w:uiPriority w:val="99"/>
    <w:unhideWhenUsed/>
    <w:rsid w:val="00A832C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32C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ine.picheral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M.AFROUK</cp:lastModifiedBy>
  <cp:revision>2</cp:revision>
  <cp:lastPrinted>2022-05-31T17:47:00Z</cp:lastPrinted>
  <dcterms:created xsi:type="dcterms:W3CDTF">2022-09-13T10:27:00Z</dcterms:created>
  <dcterms:modified xsi:type="dcterms:W3CDTF">2022-09-13T10:27:00Z</dcterms:modified>
</cp:coreProperties>
</file>